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41" w:rsidRDefault="00CA64BB">
      <w:pPr>
        <w:spacing w:line="400" w:lineRule="exact"/>
        <w:jc w:val="center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szCs w:val="24"/>
          <w:lang w:eastAsia="zh-CN"/>
        </w:rPr>
        <w:t>超声焊机</w:t>
      </w:r>
      <w:r>
        <w:rPr>
          <w:rFonts w:asciiTheme="minorEastAsia" w:eastAsiaTheme="minorEastAsia" w:hAnsiTheme="minorEastAsia" w:cstheme="minorEastAsia" w:hint="eastAsia"/>
          <w:b/>
          <w:color w:val="000000"/>
          <w:szCs w:val="24"/>
        </w:rPr>
        <w:t>技术要求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设备概要：</w:t>
      </w:r>
    </w:p>
    <w:p w:rsidR="00515441" w:rsidRDefault="00CA64BB">
      <w:pPr>
        <w:numPr>
          <w:ilvl w:val="0"/>
          <w:numId w:val="2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设备功能描述：</w:t>
      </w:r>
    </w:p>
    <w:p w:rsidR="00515441" w:rsidRDefault="00CA64BB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</w:rPr>
        <w:t>超声波发生器：具有频率自动跟踪技术；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超声波换能器：负载功率容量最高可达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4KW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超声波焊头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：采用优质进口合金钢，高度耐磨。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工作控制模式：时间模式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-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控制超声波输出时间；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能耗模式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-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实时检测换能器实部电流，精确控制能量输出；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高度模式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-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机架装配电子尺，精确控制工件焊接后的高度。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焊接参数设置：压力、振幅、焊接时间、焊接能耗、焊后高度、二次超声时间等焊接参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数全数字化设定；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高级设置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-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优化焊接曲线，从而改善焊接效果。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作业监控：通过检测焊接时间、实时功率、实时能耗、高度等数据监控焊接品质；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设定焊头使用次数，防止由于焊头过度使用影响品质；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批次设置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-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方便统计生产数量。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设备报警功能：超声波过载保护报警、气压保护报警、焊头损坏或安装不正确报警；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设备操作界面：触摸屏操作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附加除尘吸尘功能，具备焊前焊后厚度检测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当极耳层数发生变化时，厚度不一致使设备做出报警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作业监控增加数据保留记录，焊头宽度能满足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5</w:t>
      </w:r>
      <w:r w:rsidR="00B94AC1">
        <w:rPr>
          <w:rFonts w:asciiTheme="minorEastAsia" w:eastAsiaTheme="minorEastAsia" w:hAnsiTheme="minorEastAsia" w:cstheme="minorEastAsia"/>
          <w:bCs/>
          <w:szCs w:val="24"/>
        </w:rPr>
        <w:t>3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mm</w:t>
      </w:r>
    </w:p>
    <w:p w:rsidR="00515441" w:rsidRDefault="00CA64BB">
      <w:pPr>
        <w:numPr>
          <w:ilvl w:val="0"/>
          <w:numId w:val="2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设备工艺流程图：</w:t>
      </w:r>
      <w:bookmarkStart w:id="0" w:name="_GoBack"/>
      <w:bookmarkEnd w:id="0"/>
    </w:p>
    <w:p w:rsidR="00515441" w:rsidRDefault="00CA64BB">
      <w:pPr>
        <w:numPr>
          <w:ilvl w:val="0"/>
          <w:numId w:val="2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设备主要技术参数：</w:t>
      </w:r>
    </w:p>
    <w:p w:rsidR="00515441" w:rsidRDefault="00CA64BB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</w:rPr>
        <w:t>该机型为数位型，单片机＋触摸屏控制。焊接及运行参数全数字调节。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发生器频率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20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KHz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超声波功率容量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60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0W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电压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220V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±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﹪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,50/60Hz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电流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20Amax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气压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min0.65Mpa(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干燥、清洁空气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)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气压精度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0.01Mpa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发生器机箱尺寸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(W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H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D)480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600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170mm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发生器机箱重量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32Kg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机头（发振系统和机架）尺寸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(W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H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D)200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510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×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430mm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机头（发振系统和机架）重量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60Kg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运行行程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max20mm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电子尺精度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0.01mm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运行温度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5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～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50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℃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工具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焊头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铁砧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夹具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(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按实际焊接工艺制做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)</w:t>
      </w:r>
    </w:p>
    <w:p w:rsidR="00515441" w:rsidRDefault="00CA64BB">
      <w:pPr>
        <w:numPr>
          <w:ilvl w:val="0"/>
          <w:numId w:val="2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机器外观颜色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: 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5Y9/1.5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安全防护装置涂警戒色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。</w:t>
      </w:r>
    </w:p>
    <w:p w:rsidR="00515441" w:rsidRDefault="00CA64BB">
      <w:pPr>
        <w:numPr>
          <w:ilvl w:val="0"/>
          <w:numId w:val="2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设备支持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MES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系统。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设备主要配件标准元器件品牌：</w:t>
      </w:r>
    </w:p>
    <w:p w:rsidR="00515441" w:rsidRDefault="00CA64BB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、电器比例调节阀：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SMC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或同类品牌。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提供设备的易损件清单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，并配备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套备品备件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：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提供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随机附件清单：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产品规格工艺参数：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 </w:t>
      </w:r>
    </w:p>
    <w:p w:rsidR="00515441" w:rsidRDefault="00CA64BB">
      <w:pPr>
        <w:numPr>
          <w:ilvl w:val="0"/>
          <w:numId w:val="3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焊接材料：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0.3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铜镀镍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极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耳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+50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层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8UM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的铜箔；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0.3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铝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极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耳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+50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层铝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16UM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的铝箔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0.3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镍极耳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+0.3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厚的铝极耳。（焊头宽度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4mm,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长度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5</w:t>
      </w:r>
      <w:r w:rsidR="00B94AC1"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mm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         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安装工程：设备安装调试期为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天。</w:t>
      </w:r>
    </w:p>
    <w:p w:rsidR="00515441" w:rsidRDefault="00CA64BB">
      <w:pPr>
        <w:pStyle w:val="2"/>
        <w:numPr>
          <w:ilvl w:val="0"/>
          <w:numId w:val="4"/>
        </w:numPr>
        <w:spacing w:line="400" w:lineRule="exact"/>
        <w:ind w:left="426" w:firstLineChars="0" w:firstLine="0"/>
        <w:rPr>
          <w:rFonts w:asciiTheme="minorEastAsia" w:eastAsiaTheme="minorEastAsia" w:hAnsiTheme="minorEastAsia" w:cstheme="minorEastAsia"/>
          <w:b w:val="0"/>
          <w:color w:val="000000" w:themeColor="text1"/>
          <w:szCs w:val="24"/>
        </w:rPr>
      </w:pPr>
      <w:bookmarkStart w:id="1" w:name="_Hlk111882568"/>
      <w:bookmarkStart w:id="2" w:name="_Hlk111882394"/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t>除</w:t>
      </w:r>
      <w:bookmarkStart w:id="3" w:name="_Hlk111882646"/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t>另有书面要求外，需方负责接收、开箱和搬运机器到安装场所；并准备相关的电气，真空，水等到安装场所</w:t>
      </w:r>
      <w:bookmarkEnd w:id="1"/>
      <w:bookmarkEnd w:id="3"/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t>。</w:t>
      </w:r>
    </w:p>
    <w:p w:rsidR="00515441" w:rsidRDefault="00CA64BB">
      <w:pPr>
        <w:pStyle w:val="2"/>
        <w:numPr>
          <w:ilvl w:val="0"/>
          <w:numId w:val="4"/>
        </w:numPr>
        <w:spacing w:line="400" w:lineRule="exact"/>
        <w:ind w:left="426" w:firstLineChars="0" w:firstLine="0"/>
        <w:rPr>
          <w:rFonts w:asciiTheme="minorEastAsia" w:eastAsiaTheme="minorEastAsia" w:hAnsiTheme="minorEastAsia" w:cstheme="minorEastAsia"/>
          <w:b w:val="0"/>
          <w:color w:val="000000" w:themeColor="text1"/>
          <w:szCs w:val="24"/>
        </w:rPr>
      </w:pPr>
      <w:bookmarkStart w:id="4" w:name="_Hlk111882738"/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t>供方免费为需方</w:t>
      </w:r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  <w:lang w:eastAsia="zh-CN"/>
        </w:rPr>
        <w:t>提供安装服务。</w:t>
      </w:r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t>安装完毕后，双方对其设备进行小批量试产，小批试产合格并得到需方的批准才能正式量产。</w:t>
      </w:r>
    </w:p>
    <w:p w:rsidR="00515441" w:rsidRDefault="00CA64BB">
      <w:pPr>
        <w:pStyle w:val="2"/>
        <w:numPr>
          <w:ilvl w:val="0"/>
          <w:numId w:val="4"/>
        </w:numPr>
        <w:spacing w:line="400" w:lineRule="exact"/>
        <w:ind w:left="426" w:firstLineChars="0" w:firstLine="0"/>
        <w:rPr>
          <w:rFonts w:asciiTheme="minorEastAsia" w:eastAsiaTheme="minorEastAsia" w:hAnsiTheme="minorEastAsia" w:cstheme="minorEastAsia"/>
          <w:b w:val="0"/>
          <w:color w:val="000000" w:themeColor="text1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color w:val="000000" w:themeColor="text1"/>
          <w:szCs w:val="24"/>
        </w:rPr>
        <w:lastRenderedPageBreak/>
        <w:t>供方免费为需方相关人员进行培训。内容包括设备的正常使用、维护保养、故障分析排除、操作安全及紧急处理程序等。</w:t>
      </w:r>
      <w:bookmarkEnd w:id="2"/>
      <w:bookmarkEnd w:id="4"/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保证事项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：</w:t>
      </w:r>
    </w:p>
    <w:p w:rsidR="00515441" w:rsidRDefault="00CA64BB">
      <w:pPr>
        <w:spacing w:line="400" w:lineRule="exact"/>
        <w:ind w:firstLineChars="100" w:firstLine="240"/>
        <w:rPr>
          <w:rFonts w:asciiTheme="minorEastAsia" w:eastAsiaTheme="minorEastAsia" w:hAnsiTheme="minorEastAsia" w:cstheme="minorEastAsia"/>
          <w:bCs/>
          <w:kern w:val="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、设备质保期为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  <w:lang w:eastAsia="zh-CN"/>
        </w:rPr>
        <w:t>一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年（终验收合格之日起），主要部件的质保期按“技术协议”备件清单所列质保期执行；卖方必须为设备提供全寿命的指导服务。</w:t>
      </w:r>
    </w:p>
    <w:p w:rsidR="00515441" w:rsidRDefault="00CA64BB">
      <w:pPr>
        <w:spacing w:line="400" w:lineRule="exact"/>
        <w:ind w:firstLineChars="100" w:firstLine="240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、质保期内，设备出现故障，卖方四小时内提供远程技术支持。如有必要，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24</w:t>
      </w:r>
      <w:r>
        <w:rPr>
          <w:rFonts w:asciiTheme="minorEastAsia" w:eastAsiaTheme="minorEastAsia" w:hAnsiTheme="minorEastAsia" w:cstheme="minorEastAsia" w:hint="eastAsia"/>
          <w:bCs/>
          <w:kern w:val="0"/>
          <w:szCs w:val="24"/>
        </w:rPr>
        <w:t>小时内，卖方派技术人员来买方现场解决设备故障。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安全标准：</w:t>
      </w:r>
    </w:p>
    <w:p w:rsidR="00515441" w:rsidRDefault="00CA64BB">
      <w:pPr>
        <w:numPr>
          <w:ilvl w:val="0"/>
          <w:numId w:val="5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产品符合相关法律、法规要求。</w:t>
      </w:r>
    </w:p>
    <w:p w:rsidR="00515441" w:rsidRDefault="00CA64BB">
      <w:pPr>
        <w:numPr>
          <w:ilvl w:val="0"/>
          <w:numId w:val="5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设备上配备急停按钮及防护罩。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提交文件资料：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1.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合格证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2.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说明书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：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             </w:t>
      </w:r>
    </w:p>
    <w:p w:rsidR="00515441" w:rsidRDefault="00CA64BB">
      <w:pPr>
        <w:tabs>
          <w:tab w:val="left" w:pos="5640"/>
        </w:tabs>
        <w:spacing w:line="400" w:lineRule="exact"/>
        <w:ind w:firstLineChars="100" w:firstLine="240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）设备使用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说明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）关键部件、配件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操作说明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书：如：变频器、纠偏控制器、伺服电机驱动器等。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3.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图纸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：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     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设备安装布置图</w:t>
      </w:r>
    </w:p>
    <w:p w:rsidR="00515441" w:rsidRDefault="00CA64BB">
      <w:pPr>
        <w:tabs>
          <w:tab w:val="left" w:pos="5640"/>
        </w:tabs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bCs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bCs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bCs/>
          <w:szCs w:val="24"/>
        </w:rPr>
        <w:t>电器原理图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 xml:space="preserve">4. 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培训资料：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 xml:space="preserve"> 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）操作注意事项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）日常保养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3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）运行注意事项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4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）开机准备操作流程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）开机操作流程</w:t>
      </w:r>
    </w:p>
    <w:p w:rsidR="00515441" w:rsidRDefault="00CA64BB">
      <w:pPr>
        <w:spacing w:line="400" w:lineRule="exact"/>
        <w:ind w:firstLine="480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6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）关机操作流程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验收标准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:</w:t>
      </w:r>
    </w:p>
    <w:p w:rsidR="00515441" w:rsidRDefault="00CA64BB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 xml:space="preserve">   1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．连续生产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6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小时，随机取样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10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个，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只检查焊接残留面积大于焊接面积的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80%,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另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5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只取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15MM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宽使用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拉力计测量，拉力大于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5N.M</w:t>
      </w:r>
    </w:p>
    <w:p w:rsidR="00515441" w:rsidRDefault="00CA64BB">
      <w:pPr>
        <w:spacing w:line="400" w:lineRule="exact"/>
        <w:ind w:firstLineChars="100" w:firstLine="240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．产品合格率：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99.9%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，设备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稼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动率：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98%</w:t>
      </w: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。</w:t>
      </w:r>
    </w:p>
    <w:p w:rsidR="00515441" w:rsidRDefault="00CA64BB">
      <w:pPr>
        <w:numPr>
          <w:ilvl w:val="0"/>
          <w:numId w:val="1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>产品质保要求：</w:t>
      </w:r>
    </w:p>
    <w:p w:rsidR="00515441" w:rsidRDefault="00CA64BB">
      <w:pPr>
        <w:numPr>
          <w:ilvl w:val="0"/>
          <w:numId w:val="6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设备的保修期限为设备验收合格之日起一年，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Cs w:val="24"/>
        </w:rPr>
        <w:t>期间由供方负责免费维修维护设备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Cs w:val="24"/>
          <w:lang w:eastAsia="zh-CN"/>
        </w:rPr>
        <w:t>。</w:t>
      </w:r>
    </w:p>
    <w:p w:rsidR="00515441" w:rsidRDefault="00CA64BB">
      <w:pPr>
        <w:numPr>
          <w:ilvl w:val="0"/>
          <w:numId w:val="6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保修期满后，提供技术服务。</w:t>
      </w:r>
    </w:p>
    <w:p w:rsidR="00515441" w:rsidRDefault="00CA64BB">
      <w:pPr>
        <w:numPr>
          <w:ilvl w:val="0"/>
          <w:numId w:val="6"/>
        </w:num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  <w:lang w:eastAsia="zh-CN"/>
        </w:rPr>
        <w:t>设备如涉及软件，则终身免费升级更新。</w:t>
      </w:r>
    </w:p>
    <w:p w:rsidR="00515441" w:rsidRDefault="00515441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</w:p>
    <w:p w:rsidR="00515441" w:rsidRDefault="00CA64BB">
      <w:pPr>
        <w:spacing w:line="400" w:lineRule="exact"/>
        <w:rPr>
          <w:rFonts w:asciiTheme="minorEastAsia" w:eastAsiaTheme="minorEastAsia" w:hAnsiTheme="minorEastAsia" w:cstheme="minorEastAsia"/>
          <w:bCs/>
          <w:color w:val="000000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Cs w:val="24"/>
        </w:rPr>
        <w:t xml:space="preserve">     </w:t>
      </w:r>
    </w:p>
    <w:p w:rsidR="00515441" w:rsidRDefault="00515441">
      <w:pPr>
        <w:snapToGrid w:val="0"/>
        <w:spacing w:line="400" w:lineRule="exact"/>
        <w:ind w:leftChars="200" w:left="480"/>
        <w:rPr>
          <w:rFonts w:asciiTheme="minorEastAsia" w:eastAsiaTheme="minorEastAsia" w:hAnsiTheme="minorEastAsia" w:cstheme="minorEastAsia"/>
          <w:bCs/>
          <w:szCs w:val="24"/>
          <w:lang w:eastAsia="zh-CN"/>
        </w:rPr>
      </w:pPr>
    </w:p>
    <w:p w:rsidR="00515441" w:rsidRDefault="00515441">
      <w:pPr>
        <w:spacing w:line="400" w:lineRule="exact"/>
        <w:ind w:firstLineChars="98" w:firstLine="235"/>
        <w:rPr>
          <w:rFonts w:asciiTheme="minorEastAsia" w:eastAsiaTheme="minorEastAsia" w:hAnsiTheme="minorEastAsia" w:cstheme="minorEastAsia"/>
          <w:bCs/>
          <w:szCs w:val="24"/>
          <w:lang w:eastAsia="zh-CN"/>
        </w:rPr>
      </w:pPr>
    </w:p>
    <w:sectPr w:rsidR="005154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851" w:footer="992" w:gutter="283"/>
      <w:cols w:space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4BB" w:rsidRDefault="00CA64BB">
      <w:r>
        <w:separator/>
      </w:r>
    </w:p>
  </w:endnote>
  <w:endnote w:type="continuationSeparator" w:id="0">
    <w:p w:rsidR="00CA64BB" w:rsidRDefault="00CA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41" w:rsidRDefault="00515441">
    <w:pPr>
      <w:pStyle w:val="a5"/>
      <w:ind w:left="810" w:hanging="8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41" w:rsidRDefault="00515441">
    <w:pPr>
      <w:pStyle w:val="a5"/>
      <w:ind w:right="360"/>
      <w:rPr>
        <w:rFonts w:eastAsia="宋体"/>
        <w:sz w:val="21"/>
        <w:szCs w:val="21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41" w:rsidRDefault="00515441">
    <w:pPr>
      <w:pStyle w:val="a5"/>
      <w:ind w:left="810" w:hanging="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4BB" w:rsidRDefault="00CA64BB">
      <w:r>
        <w:separator/>
      </w:r>
    </w:p>
  </w:footnote>
  <w:footnote w:type="continuationSeparator" w:id="0">
    <w:p w:rsidR="00CA64BB" w:rsidRDefault="00CA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41" w:rsidRDefault="00CA64BB">
    <w:pPr>
      <w:pStyle w:val="10"/>
      <w:pBdr>
        <w:bottom w:val="double" w:sz="8" w:space="0" w:color="auto"/>
      </w:pBdr>
      <w:wordWrap w:val="0"/>
      <w:ind w:left="0" w:firstLine="0"/>
      <w:jc w:val="both"/>
      <w:rPr>
        <w:lang w:eastAsia="zh-CN"/>
      </w:rPr>
    </w:pPr>
    <w:r>
      <w:rPr>
        <w:rFonts w:hint="eastAsia"/>
        <w:lang w:eastAsia="zh-CN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425B89"/>
    <w:multiLevelType w:val="singleLevel"/>
    <w:tmpl w:val="98425B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541AC2D"/>
    <w:multiLevelType w:val="singleLevel"/>
    <w:tmpl w:val="C541AC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3FAA61B"/>
    <w:multiLevelType w:val="singleLevel"/>
    <w:tmpl w:val="23FAA61B"/>
    <w:lvl w:ilvl="0">
      <w:start w:val="1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3" w15:restartNumberingAfterBreak="0">
    <w:nsid w:val="2B8E51AE"/>
    <w:multiLevelType w:val="singleLevel"/>
    <w:tmpl w:val="2B8E51AE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4" w15:restartNumberingAfterBreak="0">
    <w:nsid w:val="345C6D88"/>
    <w:multiLevelType w:val="multilevel"/>
    <w:tmpl w:val="345C6D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FFEF6C"/>
    <w:multiLevelType w:val="singleLevel"/>
    <w:tmpl w:val="56FFEF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Q0OGM4MDM3YjBhMmNhMGM1YTYyZTU5NzViYmQ4OWUifQ=="/>
  </w:docVars>
  <w:rsids>
    <w:rsidRoot w:val="00B3593C"/>
    <w:rsid w:val="00020966"/>
    <w:rsid w:val="00020E52"/>
    <w:rsid w:val="00036233"/>
    <w:rsid w:val="0004539C"/>
    <w:rsid w:val="0005614E"/>
    <w:rsid w:val="000764AC"/>
    <w:rsid w:val="000E53CA"/>
    <w:rsid w:val="0014577B"/>
    <w:rsid w:val="001539E9"/>
    <w:rsid w:val="001627D1"/>
    <w:rsid w:val="00195518"/>
    <w:rsid w:val="001A662F"/>
    <w:rsid w:val="00242831"/>
    <w:rsid w:val="00285BDA"/>
    <w:rsid w:val="00354BF9"/>
    <w:rsid w:val="00366E70"/>
    <w:rsid w:val="0037577B"/>
    <w:rsid w:val="003B7540"/>
    <w:rsid w:val="003C56BC"/>
    <w:rsid w:val="003D1163"/>
    <w:rsid w:val="00447100"/>
    <w:rsid w:val="00466DDD"/>
    <w:rsid w:val="004A5068"/>
    <w:rsid w:val="004F1656"/>
    <w:rsid w:val="00515441"/>
    <w:rsid w:val="00547C90"/>
    <w:rsid w:val="00590742"/>
    <w:rsid w:val="006361C8"/>
    <w:rsid w:val="006A18E1"/>
    <w:rsid w:val="006E15CC"/>
    <w:rsid w:val="006F7C40"/>
    <w:rsid w:val="00741BED"/>
    <w:rsid w:val="00822D05"/>
    <w:rsid w:val="00834F76"/>
    <w:rsid w:val="008C602E"/>
    <w:rsid w:val="008D4AA8"/>
    <w:rsid w:val="008E2A47"/>
    <w:rsid w:val="00917056"/>
    <w:rsid w:val="00927C61"/>
    <w:rsid w:val="0093511D"/>
    <w:rsid w:val="00940E78"/>
    <w:rsid w:val="00952E37"/>
    <w:rsid w:val="0097462B"/>
    <w:rsid w:val="00977EEC"/>
    <w:rsid w:val="009A0F15"/>
    <w:rsid w:val="00A15442"/>
    <w:rsid w:val="00A219C4"/>
    <w:rsid w:val="00A2475E"/>
    <w:rsid w:val="00A80413"/>
    <w:rsid w:val="00AA46EE"/>
    <w:rsid w:val="00B04220"/>
    <w:rsid w:val="00B20DC7"/>
    <w:rsid w:val="00B24BE7"/>
    <w:rsid w:val="00B3593C"/>
    <w:rsid w:val="00B6718E"/>
    <w:rsid w:val="00B94AC1"/>
    <w:rsid w:val="00BD39D6"/>
    <w:rsid w:val="00C06DEC"/>
    <w:rsid w:val="00C1525D"/>
    <w:rsid w:val="00C173DF"/>
    <w:rsid w:val="00C717A6"/>
    <w:rsid w:val="00C92A0E"/>
    <w:rsid w:val="00C92FD9"/>
    <w:rsid w:val="00C953FF"/>
    <w:rsid w:val="00CA138D"/>
    <w:rsid w:val="00CA64BB"/>
    <w:rsid w:val="00D34336"/>
    <w:rsid w:val="00D963FC"/>
    <w:rsid w:val="00DF5F62"/>
    <w:rsid w:val="00E3116C"/>
    <w:rsid w:val="00F109EF"/>
    <w:rsid w:val="00F258A2"/>
    <w:rsid w:val="00F74BE0"/>
    <w:rsid w:val="00FB2BB8"/>
    <w:rsid w:val="07A51140"/>
    <w:rsid w:val="0BEF2F0E"/>
    <w:rsid w:val="0C2A1F97"/>
    <w:rsid w:val="0ECA6009"/>
    <w:rsid w:val="13B0529C"/>
    <w:rsid w:val="1C020FA5"/>
    <w:rsid w:val="2196091D"/>
    <w:rsid w:val="28392598"/>
    <w:rsid w:val="2961462C"/>
    <w:rsid w:val="2C1323E9"/>
    <w:rsid w:val="2DC115CB"/>
    <w:rsid w:val="35000CA3"/>
    <w:rsid w:val="37FE7BD1"/>
    <w:rsid w:val="380D4B06"/>
    <w:rsid w:val="3B51587A"/>
    <w:rsid w:val="3C9F710F"/>
    <w:rsid w:val="414A5655"/>
    <w:rsid w:val="46F50A89"/>
    <w:rsid w:val="472938D6"/>
    <w:rsid w:val="515210F0"/>
    <w:rsid w:val="570C57C9"/>
    <w:rsid w:val="61324033"/>
    <w:rsid w:val="69100115"/>
    <w:rsid w:val="6BA6732B"/>
    <w:rsid w:val="6BB169C9"/>
    <w:rsid w:val="6CCF139F"/>
    <w:rsid w:val="6DBF0ABE"/>
    <w:rsid w:val="78616A72"/>
    <w:rsid w:val="7C1A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7C09"/>
  <w15:docId w15:val="{D3CF761C-D2C3-4B93-84A1-885388F9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lang w:eastAsia="zh-TW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eastAsia="宋体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ind w:left="1041" w:hangingChars="494" w:hanging="1041"/>
    </w:pPr>
    <w:rPr>
      <w:rFonts w:ascii="宋体" w:hAnsi="宋体" w:cs="宋体"/>
      <w:b/>
      <w:bCs/>
      <w:color w:val="000000"/>
      <w:szCs w:val="21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="810" w:hanging="81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PMingLiU" w:hAnsi="Times New Roman" w:cs="Times New Roman"/>
      <w:sz w:val="18"/>
      <w:szCs w:val="18"/>
      <w:lang w:eastAsia="zh-TW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eastAsia="PMingLiU" w:hAnsi="Times New Roman" w:cs="Times New Roman"/>
      <w:kern w:val="2"/>
      <w:sz w:val="24"/>
      <w:lang w:eastAsia="zh-TW"/>
    </w:rPr>
  </w:style>
  <w:style w:type="paragraph" w:customStyle="1" w:styleId="10">
    <w:name w:val="样式1"/>
    <w:basedOn w:val="a7"/>
    <w:link w:val="1Char"/>
    <w:qFormat/>
    <w:pPr>
      <w:pBdr>
        <w:bottom w:val="none" w:sz="0" w:space="0" w:color="auto"/>
      </w:pBdr>
    </w:pPr>
  </w:style>
  <w:style w:type="paragraph" w:customStyle="1" w:styleId="20">
    <w:name w:val="样式2"/>
    <w:basedOn w:val="a"/>
    <w:link w:val="2Char"/>
    <w:qFormat/>
    <w:pPr>
      <w:tabs>
        <w:tab w:val="left" w:pos="1215"/>
      </w:tabs>
    </w:pPr>
  </w:style>
  <w:style w:type="character" w:customStyle="1" w:styleId="1Char">
    <w:name w:val="样式1 Char"/>
    <w:basedOn w:val="a8"/>
    <w:link w:val="10"/>
    <w:qFormat/>
    <w:rPr>
      <w:rFonts w:ascii="Times New Roman" w:eastAsia="PMingLiU" w:hAnsi="Times New Roman" w:cs="Times New Roman"/>
      <w:sz w:val="18"/>
      <w:szCs w:val="18"/>
      <w:lang w:eastAsia="zh-TW"/>
    </w:rPr>
  </w:style>
  <w:style w:type="paragraph" w:customStyle="1" w:styleId="3">
    <w:name w:val="样式3"/>
    <w:basedOn w:val="20"/>
    <w:link w:val="3Char"/>
    <w:qFormat/>
    <w:pPr>
      <w:pBdr>
        <w:top w:val="single" w:sz="6" w:space="1" w:color="auto"/>
      </w:pBdr>
    </w:pPr>
  </w:style>
  <w:style w:type="character" w:customStyle="1" w:styleId="2Char">
    <w:name w:val="样式2 Char"/>
    <w:basedOn w:val="a0"/>
    <w:link w:val="20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41">
    <w:name w:val="样式4"/>
    <w:basedOn w:val="3"/>
    <w:link w:val="4Char"/>
    <w:qFormat/>
    <w:pPr>
      <w:pBdr>
        <w:top w:val="none" w:sz="0" w:space="0" w:color="auto"/>
      </w:pBdr>
    </w:pPr>
  </w:style>
  <w:style w:type="character" w:customStyle="1" w:styleId="3Char">
    <w:name w:val="样式3 Char"/>
    <w:basedOn w:val="2Char"/>
    <w:link w:val="3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5">
    <w:name w:val="样式5"/>
    <w:basedOn w:val="41"/>
    <w:link w:val="5Char"/>
    <w:qFormat/>
    <w:pPr>
      <w:pBdr>
        <w:top w:val="thinThickSmallGap" w:sz="24" w:space="1" w:color="auto"/>
      </w:pBdr>
    </w:pPr>
  </w:style>
  <w:style w:type="character" w:customStyle="1" w:styleId="4Char">
    <w:name w:val="样式4 Char"/>
    <w:basedOn w:val="3Char"/>
    <w:link w:val="41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6">
    <w:name w:val="样式6"/>
    <w:basedOn w:val="5"/>
    <w:link w:val="6Char"/>
    <w:qFormat/>
  </w:style>
  <w:style w:type="character" w:customStyle="1" w:styleId="5Char">
    <w:name w:val="样式5 Char"/>
    <w:basedOn w:val="4Char"/>
    <w:link w:val="5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7">
    <w:name w:val="样式7"/>
    <w:basedOn w:val="6"/>
    <w:link w:val="7Char"/>
    <w:qFormat/>
  </w:style>
  <w:style w:type="character" w:customStyle="1" w:styleId="6Char">
    <w:name w:val="样式6 Char"/>
    <w:basedOn w:val="5Char"/>
    <w:link w:val="6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character" w:customStyle="1" w:styleId="7Char">
    <w:name w:val="样式7 Char"/>
    <w:basedOn w:val="6Char"/>
    <w:link w:val="7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8">
    <w:name w:val="样式8"/>
    <w:basedOn w:val="7"/>
    <w:link w:val="8Char"/>
    <w:qFormat/>
  </w:style>
  <w:style w:type="paragraph" w:customStyle="1" w:styleId="9">
    <w:name w:val="样式9"/>
    <w:basedOn w:val="8"/>
    <w:link w:val="9Char"/>
    <w:qFormat/>
    <w:pPr>
      <w:pBdr>
        <w:top w:val="none" w:sz="0" w:space="0" w:color="auto"/>
      </w:pBdr>
    </w:pPr>
    <w:rPr>
      <w:rFonts w:eastAsiaTheme="minorEastAsia"/>
      <w:lang w:eastAsia="zh-CN"/>
    </w:rPr>
  </w:style>
  <w:style w:type="character" w:customStyle="1" w:styleId="8Char">
    <w:name w:val="样式8 Char"/>
    <w:basedOn w:val="7Char"/>
    <w:link w:val="8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100">
    <w:name w:val="样式10"/>
    <w:basedOn w:val="a"/>
    <w:link w:val="10Char"/>
    <w:qFormat/>
  </w:style>
  <w:style w:type="character" w:customStyle="1" w:styleId="9Char">
    <w:name w:val="样式9 Char"/>
    <w:basedOn w:val="8Char"/>
    <w:link w:val="9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11">
    <w:name w:val="样式11"/>
    <w:basedOn w:val="100"/>
    <w:link w:val="11Char"/>
    <w:qFormat/>
    <w:pPr>
      <w:pBdr>
        <w:top w:val="single" w:sz="6" w:space="1" w:color="auto"/>
      </w:pBdr>
    </w:pPr>
  </w:style>
  <w:style w:type="character" w:customStyle="1" w:styleId="10Char">
    <w:name w:val="样式10 Char"/>
    <w:basedOn w:val="a0"/>
    <w:link w:val="100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12">
    <w:name w:val="样式12"/>
    <w:basedOn w:val="10"/>
    <w:link w:val="12Char"/>
    <w:qFormat/>
    <w:rPr>
      <w:rFonts w:eastAsia="宋体" w:hAnsi="宋体"/>
      <w:b/>
      <w:sz w:val="32"/>
      <w:lang w:eastAsia="zh-CN"/>
    </w:rPr>
  </w:style>
  <w:style w:type="character" w:customStyle="1" w:styleId="11Char">
    <w:name w:val="样式11 Char"/>
    <w:basedOn w:val="10Char"/>
    <w:link w:val="11"/>
    <w:qFormat/>
    <w:rPr>
      <w:rFonts w:ascii="Times New Roman" w:eastAsia="PMingLiU" w:hAnsi="Times New Roman" w:cs="Times New Roman"/>
      <w:sz w:val="24"/>
      <w:szCs w:val="20"/>
      <w:lang w:eastAsia="zh-TW"/>
    </w:rPr>
  </w:style>
  <w:style w:type="paragraph" w:customStyle="1" w:styleId="13">
    <w:name w:val="样式13"/>
    <w:basedOn w:val="a"/>
    <w:link w:val="13Char"/>
    <w:qFormat/>
    <w:pPr>
      <w:pBdr>
        <w:bottom w:val="single" w:sz="18" w:space="1" w:color="auto"/>
      </w:pBdr>
    </w:pPr>
    <w:rPr>
      <w:rFonts w:eastAsiaTheme="minorEastAsia"/>
      <w:lang w:eastAsia="zh-CN"/>
    </w:rPr>
  </w:style>
  <w:style w:type="character" w:customStyle="1" w:styleId="12Char">
    <w:name w:val="样式12 Char"/>
    <w:basedOn w:val="1Char"/>
    <w:link w:val="12"/>
    <w:qFormat/>
    <w:rPr>
      <w:rFonts w:ascii="Times New Roman" w:eastAsia="宋体" w:hAnsi="宋体" w:cs="Times New Roman"/>
      <w:b/>
      <w:sz w:val="32"/>
      <w:szCs w:val="18"/>
      <w:lang w:eastAsia="zh-TW"/>
    </w:rPr>
  </w:style>
  <w:style w:type="character" w:customStyle="1" w:styleId="13Char">
    <w:name w:val="样式13 Char"/>
    <w:basedOn w:val="a0"/>
    <w:link w:val="13"/>
    <w:qFormat/>
    <w:rPr>
      <w:rFonts w:ascii="Times New Roman" w:hAnsi="Times New Roman" w:cs="Times New Roman"/>
      <w:sz w:val="24"/>
      <w:szCs w:val="20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181B-E6C6-49FC-AFA9-D153323B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246</Words>
  <Characters>1403</Characters>
  <Application>Microsoft Office Word</Application>
  <DocSecurity>0</DocSecurity>
  <Lines>11</Lines>
  <Paragraphs>3</Paragraphs>
  <ScaleCrop>false</ScaleCrop>
  <Company>WwW.YlmF.CoM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gmsb</dc:creator>
  <cp:lastModifiedBy>微山湖锂动</cp:lastModifiedBy>
  <cp:revision>37</cp:revision>
  <dcterms:created xsi:type="dcterms:W3CDTF">2013-08-22T00:24:00Z</dcterms:created>
  <dcterms:modified xsi:type="dcterms:W3CDTF">2023-09-01T00:46:00Z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BD27EFE22E45480CAC908F2E5A57ED05</vt:lpwstr>
  </property>
</Properties>
</file>