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煤矿密闭空间无线监测系统技术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要求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240" w:after="24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Toc114477733"/>
      <w:bookmarkStart w:id="1" w:name="_Toc32011"/>
      <w:bookmarkStart w:id="2" w:name="_Toc59106925"/>
      <w:r>
        <w:rPr>
          <w:rFonts w:hint="eastAsia" w:ascii="宋体" w:hAnsi="宋体" w:eastAsia="宋体" w:cs="宋体"/>
          <w:sz w:val="28"/>
          <w:szCs w:val="28"/>
        </w:rPr>
        <w:t>技术</w:t>
      </w:r>
      <w:bookmarkEnd w:id="0"/>
      <w:r>
        <w:rPr>
          <w:rFonts w:hint="eastAsia" w:ascii="宋体" w:hAnsi="宋体" w:eastAsia="宋体" w:cs="宋体"/>
          <w:sz w:val="28"/>
          <w:szCs w:val="28"/>
        </w:rPr>
        <w:t>要求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无线监测：系统须支持无线/有线等多种数据传输方式，确保井下复杂环境中的数据传输稳定性；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监测种类：系统须支持CO、O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、CH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、CO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、C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H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C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H</w:t>
      </w:r>
      <w:r>
        <w:rPr>
          <w:rFonts w:hint="eastAsia" w:ascii="宋体" w:hAnsi="宋体" w:eastAsia="宋体" w:cs="宋体"/>
          <w:sz w:val="28"/>
          <w:szCs w:val="28"/>
          <w:highlight w:val="none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、温度、压差等多种监测数据，综合监测多项指标进行横向分析；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集成设计：传感器须集成本安型抽气泵，可将密闭区域气体抽取至传感器进行分析；须内置流量计、自动滤水器，确保监测准确性；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电子排版：井下设备须内置显示屏，实时显示监测数据，免去人工抄写的繁重工作量；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灵活部署：井下设备须支持电源供电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电池供电等多种供电方式，满足井下复杂环境的设备安装需求；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560" w:leftChars="200" w:firstLine="140" w:firstLineChars="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低功耗设计：设备须具有休眠和工作两种状态，确保长时间稳定运行；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560" w:leftChars="200" w:firstLine="140" w:firstLineChars="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无人值守设计：支持24小时在线监测，实现无人值守；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数据分析：系统可自动将分析数据存入数据库，并可用数据库分析某一采样点的气体含量在一段时间内的变化趋势，支持图表化显示；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自动报警：井上、井下应均具有气体含量、温度超限自动报警功能；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数据共享：系统须具有联网功能，实现分析数据的共享，便于领导和调度人员对井下气体、温度的变化情况及时了解；</w:t>
      </w:r>
    </w:p>
    <w:bookmarkEnd w:id="1"/>
    <w:bookmarkEnd w:id="2"/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智能预警：系统应支持监测数据阈值设置，超限数据自动报警；系统支持监测数据智能趋势分析，对于异常波动数据进行智能预警；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12、</w:t>
      </w:r>
      <w:r>
        <w:rPr>
          <w:rFonts w:hint="eastAsia" w:cs="宋体"/>
          <w:color w:val="FF0000"/>
          <w:sz w:val="28"/>
          <w:szCs w:val="28"/>
          <w:u w:val="single"/>
          <w:lang w:val="en-US" w:eastAsia="zh-CN"/>
        </w:rPr>
        <w:t>能够监测矿井不低于20个密闭内数据。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240" w:after="240"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设计依据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20" w:leftChars="100" w:hanging="140" w:hangingChars="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本方案的设计依据、遵照的技术规范和标准，主要包括：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《煤矿安全规程》（2016版）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《煤矿安全监控系统通用技术要求》（AQ6201-2019）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煤矿安全监控系统及监测仪器使用管理规范》（AQ1029-2019）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《煤矿安全生产监控系统通用技术条件》（MT/T 1004-2006）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《矿用产品安全标志标识》（AQ 1043-2007）</w:t>
      </w:r>
    </w:p>
    <w:p>
      <w:pPr>
        <w:pStyle w:val="5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其它按国家、省、集团公司及煤矿企业有关规范标准执行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\</w:t>
      </w:r>
    </w:p>
    <w:p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</w:t>
      </w:r>
      <w:r>
        <w:rPr>
          <w:rFonts w:hint="eastAsia" w:ascii="宋体" w:hAnsi="宋体" w:eastAsia="宋体" w:cs="宋体"/>
          <w:sz w:val="28"/>
          <w:szCs w:val="28"/>
        </w:rPr>
        <w:t>技术指标</w:t>
      </w:r>
    </w:p>
    <w:tbl>
      <w:tblPr>
        <w:tblStyle w:val="60"/>
        <w:tblpPr w:leftFromText="180" w:rightFromText="180" w:vertAnchor="text" w:horzAnchor="page" w:tblpX="1083" w:tblpY="534"/>
        <w:tblOverlap w:val="never"/>
        <w:tblW w:w="9452" w:type="dxa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09"/>
        <w:gridCol w:w="1755"/>
        <w:gridCol w:w="1271"/>
        <w:gridCol w:w="1704"/>
        <w:gridCol w:w="3115"/>
      </w:tblGrid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98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  <w:noWrap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测量种类</w:t>
            </w:r>
          </w:p>
        </w:tc>
        <w:tc>
          <w:tcPr>
            <w:tcW w:w="1755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测量范围</w:t>
            </w:r>
          </w:p>
        </w:tc>
        <w:tc>
          <w:tcPr>
            <w:tcW w:w="1271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分辨率</w:t>
            </w:r>
          </w:p>
        </w:tc>
        <w:tc>
          <w:tcPr>
            <w:tcW w:w="4819" w:type="dxa"/>
            <w:gridSpan w:val="2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>基本误差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98" w:type="dxa"/>
            <w:vMerge w:val="restart"/>
            <w:shd w:val="clear" w:color="auto" w:fill="DBE5F1" w:themeFill="accent1" w:themeFillTint="33"/>
            <w:noWrap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1</w:t>
            </w:r>
          </w:p>
        </w:tc>
        <w:tc>
          <w:tcPr>
            <w:tcW w:w="1109" w:type="dxa"/>
            <w:vMerge w:val="restart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CO</w:t>
            </w:r>
          </w:p>
        </w:tc>
        <w:tc>
          <w:tcPr>
            <w:tcW w:w="1755" w:type="dxa"/>
            <w:vMerge w:val="restart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0～1000ppm</w:t>
            </w:r>
          </w:p>
        </w:tc>
        <w:tc>
          <w:tcPr>
            <w:tcW w:w="1271" w:type="dxa"/>
            <w:vMerge w:val="restart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1ppm</w:t>
            </w:r>
          </w:p>
        </w:tc>
        <w:tc>
          <w:tcPr>
            <w:tcW w:w="1704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0-100ppm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±4ppm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8" w:type="dxa"/>
            <w:vMerge w:val="continue"/>
            <w:shd w:val="clear" w:color="auto" w:fill="DBE5F1" w:themeFill="accent1" w:themeFillTint="33"/>
            <w:noWrap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9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1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100-500ppm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真值的±5%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8" w:type="dxa"/>
            <w:vMerge w:val="continue"/>
            <w:noWrap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500-1000ppm</w:t>
            </w:r>
          </w:p>
        </w:tc>
        <w:tc>
          <w:tcPr>
            <w:tcW w:w="311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真值的±6%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8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2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O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  <w:lang w:bidi="ar"/>
              </w:rPr>
              <w:t>2</w:t>
            </w:r>
          </w:p>
        </w:tc>
        <w:tc>
          <w:tcPr>
            <w:tcW w:w="175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0～25%</w:t>
            </w:r>
          </w:p>
        </w:tc>
        <w:tc>
          <w:tcPr>
            <w:tcW w:w="1271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0.10%</w:t>
            </w:r>
          </w:p>
        </w:tc>
        <w:tc>
          <w:tcPr>
            <w:tcW w:w="4819" w:type="dxa"/>
            <w:gridSpan w:val="2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量程的±3%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3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CH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  <w:lang w:bidi="ar"/>
              </w:rPr>
              <w:t>4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0～100%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0.01%</w:t>
            </w:r>
          </w:p>
        </w:tc>
        <w:tc>
          <w:tcPr>
            <w:tcW w:w="1704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0.00%-1.00%</w:t>
            </w:r>
          </w:p>
        </w:tc>
        <w:tc>
          <w:tcPr>
            <w:tcW w:w="311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±0.06%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9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1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1.00%-100.00%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真值的±0.6%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4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CO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  <w:lang w:bidi="ar"/>
              </w:rPr>
              <w:t>2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0-5%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0.01%</w:t>
            </w:r>
          </w:p>
        </w:tc>
        <w:tc>
          <w:tcPr>
            <w:tcW w:w="1704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0.00%-0.50%</w:t>
            </w:r>
          </w:p>
        </w:tc>
        <w:tc>
          <w:tcPr>
            <w:tcW w:w="311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±0.10%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8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9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1" w:type="dxa"/>
            <w:vMerge w:val="continue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0.51%-5.00%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±（0.05+真值的5%）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8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09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H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0～200</w:t>
            </w:r>
          </w:p>
        </w:tc>
        <w:tc>
          <w:tcPr>
            <w:tcW w:w="127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1ppm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真值的±5%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8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H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5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0～200</w:t>
            </w:r>
          </w:p>
        </w:tc>
        <w:tc>
          <w:tcPr>
            <w:tcW w:w="1271" w:type="dxa"/>
            <w:shd w:val="clear" w:color="auto" w:fill="DBE5F1" w:themeFill="accent1" w:themeFillTint="3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1ppm</w:t>
            </w:r>
          </w:p>
        </w:tc>
        <w:tc>
          <w:tcPr>
            <w:tcW w:w="4819" w:type="dxa"/>
            <w:gridSpan w:val="2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真值的±5%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温度</w:t>
            </w:r>
          </w:p>
        </w:tc>
        <w:tc>
          <w:tcPr>
            <w:tcW w:w="175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0～100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</w:t>
            </w:r>
          </w:p>
        </w:tc>
        <w:tc>
          <w:tcPr>
            <w:tcW w:w="127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C</w:t>
            </w:r>
          </w:p>
        </w:tc>
      </w:tr>
      <w:tr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  <w:t>8</w:t>
            </w: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压差</w:t>
            </w:r>
          </w:p>
        </w:tc>
        <w:tc>
          <w:tcPr>
            <w:tcW w:w="1755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±7Kpa</w:t>
            </w:r>
          </w:p>
        </w:tc>
        <w:tc>
          <w:tcPr>
            <w:tcW w:w="1271" w:type="dxa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0.01</w:t>
            </w:r>
          </w:p>
        </w:tc>
        <w:tc>
          <w:tcPr>
            <w:tcW w:w="4819" w:type="dxa"/>
            <w:gridSpan w:val="2"/>
            <w:shd w:val="clear" w:color="auto" w:fill="DBE5F1" w:themeFill="accent1" w:themeFillTint="33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±1%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240" w:after="240"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3" w:name="_Toc5910692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设备清单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tbl>
      <w:tblPr>
        <w:tblStyle w:val="18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675"/>
        <w:gridCol w:w="1933"/>
        <w:gridCol w:w="72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分项名称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煤矿密闭区火灾监测系统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含软件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工控机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IPC-610L（AIMB-705VG/I7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打印机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A4 幅面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交换机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KJJ24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矿用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光缆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8芯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米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光纤接线盒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FHG4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单管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φ8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束管接头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φ8</w:t>
            </w: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70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75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光纤熔接机</w:t>
            </w:r>
          </w:p>
        </w:tc>
        <w:tc>
          <w:tcPr>
            <w:tcW w:w="1933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pStyle w:val="2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bookmarkStart w:id="5" w:name="_GoBack"/>
            <w:bookmarkEnd w:id="5"/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240" w:after="240"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4" w:name="_Toc11447773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售后服务</w:t>
      </w:r>
      <w:bookmarkEnd w:id="3"/>
      <w:bookmarkEnd w:id="4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1．质量保证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须保证所供货物均按有关国家标准生产和检验，完全符合国家相关法律法规及合同条款规定的质量、规格和性能要求，出厂之前经严格检验，包装良好，可以避免一般装卸引起的零部件不良。设备在正确安装、正常运转和保养条件下，在使用期内具有满意的性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2．质保期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自工程竣工验收之日起12个月。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3．质保期内服务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保期内执行国家工业产品售后服务的有关规定，在此期间若接到用户报修的函电时，2小时内做出响应，一般性故障72小时内到达现场，紧急事件24小时内到达现场，保证故障在48小时内排除，质保期内非买方原因造成的设备损坏的经济损失由卖方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4．质保期外服务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质保期外若接到用户报修的函电时，2小时内做出响应，一般性故障72小时内到达现场，紧急事件24小时内到达现场，保证故障在48小时内排除故障，对系统及设备进行维护或维修时，只收取成本费。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5．其他承诺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（1）对系统改制、扩容、拆点等不同要求，应及时、准确地予以技术支持；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（2）定期免费对矿方相关人员进行专业操作培训。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80" w:bottom="1134" w:left="1083" w:header="708" w:footer="709" w:gutter="0"/>
      <w:pgNumType w:start="1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9072764"/>
      <w:docPartObj>
        <w:docPartGallery w:val="autotext"/>
      </w:docPartObj>
    </w:sdtPr>
    <w:sdtContent>
      <w:p>
        <w:pPr>
          <w:pStyle w:val="14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B39EA"/>
    <w:multiLevelType w:val="multilevel"/>
    <w:tmpl w:val="295B39EA"/>
    <w:lvl w:ilvl="0" w:tentative="0">
      <w:start w:val="1"/>
      <w:numFmt w:val="decimal"/>
      <w:pStyle w:val="33"/>
      <w:lvlText w:val="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C00328E"/>
    <w:multiLevelType w:val="multilevel"/>
    <w:tmpl w:val="2C00328E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34F266E6"/>
    <w:multiLevelType w:val="multilevel"/>
    <w:tmpl w:val="34F266E6"/>
    <w:lvl w:ilvl="0" w:tentative="0">
      <w:start w:val="1"/>
      <w:numFmt w:val="bullet"/>
      <w:pStyle w:val="55"/>
      <w:lvlText w:val=""/>
      <w:lvlJc w:val="left"/>
      <w:pPr>
        <w:ind w:left="11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5YmRhZTczM2Q1NzU3Njc2NTgyNjJhODJiNTk5NzUifQ=="/>
  </w:docVars>
  <w:rsids>
    <w:rsidRoot w:val="00D31D50"/>
    <w:rsid w:val="0000298F"/>
    <w:rsid w:val="00002A30"/>
    <w:rsid w:val="00003AB0"/>
    <w:rsid w:val="000317BC"/>
    <w:rsid w:val="0003429C"/>
    <w:rsid w:val="00036A28"/>
    <w:rsid w:val="000408A0"/>
    <w:rsid w:val="00043B86"/>
    <w:rsid w:val="00047399"/>
    <w:rsid w:val="00055D7D"/>
    <w:rsid w:val="00056FBA"/>
    <w:rsid w:val="00064825"/>
    <w:rsid w:val="000754A8"/>
    <w:rsid w:val="000762E5"/>
    <w:rsid w:val="00086AEC"/>
    <w:rsid w:val="000876A4"/>
    <w:rsid w:val="00093858"/>
    <w:rsid w:val="000B4F85"/>
    <w:rsid w:val="000B6851"/>
    <w:rsid w:val="000C1765"/>
    <w:rsid w:val="000D17AB"/>
    <w:rsid w:val="000D4872"/>
    <w:rsid w:val="000D7ACA"/>
    <w:rsid w:val="000D7E64"/>
    <w:rsid w:val="000F5895"/>
    <w:rsid w:val="000F6C66"/>
    <w:rsid w:val="0011708D"/>
    <w:rsid w:val="0014414C"/>
    <w:rsid w:val="00153EC0"/>
    <w:rsid w:val="001541AD"/>
    <w:rsid w:val="00160C7D"/>
    <w:rsid w:val="001642CD"/>
    <w:rsid w:val="00170AE2"/>
    <w:rsid w:val="00175405"/>
    <w:rsid w:val="0017766E"/>
    <w:rsid w:val="00180041"/>
    <w:rsid w:val="00181C8B"/>
    <w:rsid w:val="00183365"/>
    <w:rsid w:val="001945A1"/>
    <w:rsid w:val="001A1914"/>
    <w:rsid w:val="001A1D44"/>
    <w:rsid w:val="001C081A"/>
    <w:rsid w:val="001C218E"/>
    <w:rsid w:val="001C2772"/>
    <w:rsid w:val="001C2AD9"/>
    <w:rsid w:val="001E10A1"/>
    <w:rsid w:val="001E3577"/>
    <w:rsid w:val="001E507E"/>
    <w:rsid w:val="002030F9"/>
    <w:rsid w:val="00220CF1"/>
    <w:rsid w:val="00225F73"/>
    <w:rsid w:val="00227ACF"/>
    <w:rsid w:val="00232016"/>
    <w:rsid w:val="00232BB4"/>
    <w:rsid w:val="002352F5"/>
    <w:rsid w:val="00245121"/>
    <w:rsid w:val="002657A9"/>
    <w:rsid w:val="00275254"/>
    <w:rsid w:val="002756EB"/>
    <w:rsid w:val="0027737E"/>
    <w:rsid w:val="002927EC"/>
    <w:rsid w:val="00294AC6"/>
    <w:rsid w:val="00297F9C"/>
    <w:rsid w:val="002A4119"/>
    <w:rsid w:val="002A52F5"/>
    <w:rsid w:val="002B0A80"/>
    <w:rsid w:val="002B39AC"/>
    <w:rsid w:val="002B42A3"/>
    <w:rsid w:val="002B7FA4"/>
    <w:rsid w:val="002C1DBC"/>
    <w:rsid w:val="002C1E48"/>
    <w:rsid w:val="002D70A7"/>
    <w:rsid w:val="002E4A8D"/>
    <w:rsid w:val="003016E4"/>
    <w:rsid w:val="00305886"/>
    <w:rsid w:val="00314F49"/>
    <w:rsid w:val="00323B43"/>
    <w:rsid w:val="00330A6A"/>
    <w:rsid w:val="00344614"/>
    <w:rsid w:val="00344A97"/>
    <w:rsid w:val="003463C4"/>
    <w:rsid w:val="0034682C"/>
    <w:rsid w:val="00350161"/>
    <w:rsid w:val="003519C8"/>
    <w:rsid w:val="00364C9A"/>
    <w:rsid w:val="00366BA3"/>
    <w:rsid w:val="003712F7"/>
    <w:rsid w:val="0037600F"/>
    <w:rsid w:val="0038400E"/>
    <w:rsid w:val="003879F7"/>
    <w:rsid w:val="0039451F"/>
    <w:rsid w:val="003A032C"/>
    <w:rsid w:val="003B4F7C"/>
    <w:rsid w:val="003C75C5"/>
    <w:rsid w:val="003C76D4"/>
    <w:rsid w:val="003D37D8"/>
    <w:rsid w:val="003D4792"/>
    <w:rsid w:val="003D6F1E"/>
    <w:rsid w:val="003E5B3C"/>
    <w:rsid w:val="003E61AE"/>
    <w:rsid w:val="003E7325"/>
    <w:rsid w:val="003F279C"/>
    <w:rsid w:val="003F7505"/>
    <w:rsid w:val="004058E9"/>
    <w:rsid w:val="0040708C"/>
    <w:rsid w:val="00410C96"/>
    <w:rsid w:val="00417FE3"/>
    <w:rsid w:val="00420454"/>
    <w:rsid w:val="00421AD3"/>
    <w:rsid w:val="00424B24"/>
    <w:rsid w:val="0042529E"/>
    <w:rsid w:val="00426133"/>
    <w:rsid w:val="00426630"/>
    <w:rsid w:val="004358AB"/>
    <w:rsid w:val="00436874"/>
    <w:rsid w:val="00445CD0"/>
    <w:rsid w:val="00446EBE"/>
    <w:rsid w:val="00453B5B"/>
    <w:rsid w:val="00463236"/>
    <w:rsid w:val="0047101C"/>
    <w:rsid w:val="00472747"/>
    <w:rsid w:val="00477C14"/>
    <w:rsid w:val="00485DB7"/>
    <w:rsid w:val="0048703E"/>
    <w:rsid w:val="004875B4"/>
    <w:rsid w:val="004929C3"/>
    <w:rsid w:val="004A3C3A"/>
    <w:rsid w:val="004A7E74"/>
    <w:rsid w:val="004B7E6D"/>
    <w:rsid w:val="004C0B57"/>
    <w:rsid w:val="004C47FB"/>
    <w:rsid w:val="004D52C7"/>
    <w:rsid w:val="004D5E7D"/>
    <w:rsid w:val="004E2FD9"/>
    <w:rsid w:val="004E5BCE"/>
    <w:rsid w:val="004E72B9"/>
    <w:rsid w:val="004F3164"/>
    <w:rsid w:val="004F3627"/>
    <w:rsid w:val="0050028B"/>
    <w:rsid w:val="00507F4F"/>
    <w:rsid w:val="00511160"/>
    <w:rsid w:val="00511CB3"/>
    <w:rsid w:val="00512DA6"/>
    <w:rsid w:val="005141DB"/>
    <w:rsid w:val="00514831"/>
    <w:rsid w:val="005269AC"/>
    <w:rsid w:val="00530B94"/>
    <w:rsid w:val="005503B7"/>
    <w:rsid w:val="00564A42"/>
    <w:rsid w:val="005657EC"/>
    <w:rsid w:val="00573913"/>
    <w:rsid w:val="00582732"/>
    <w:rsid w:val="00585F56"/>
    <w:rsid w:val="00590FAB"/>
    <w:rsid w:val="005967EC"/>
    <w:rsid w:val="0059779A"/>
    <w:rsid w:val="005B0506"/>
    <w:rsid w:val="005B0B0E"/>
    <w:rsid w:val="005B34EA"/>
    <w:rsid w:val="005B5FB0"/>
    <w:rsid w:val="005B6A3D"/>
    <w:rsid w:val="005B76E7"/>
    <w:rsid w:val="005C0CA0"/>
    <w:rsid w:val="005C2355"/>
    <w:rsid w:val="005C55A4"/>
    <w:rsid w:val="005C560F"/>
    <w:rsid w:val="005D1036"/>
    <w:rsid w:val="005D1442"/>
    <w:rsid w:val="005E29C3"/>
    <w:rsid w:val="005E4F43"/>
    <w:rsid w:val="00602A0A"/>
    <w:rsid w:val="0060702A"/>
    <w:rsid w:val="00626975"/>
    <w:rsid w:val="0063009E"/>
    <w:rsid w:val="00634DAE"/>
    <w:rsid w:val="006358ED"/>
    <w:rsid w:val="00636E7B"/>
    <w:rsid w:val="00641A6D"/>
    <w:rsid w:val="006533B4"/>
    <w:rsid w:val="00653F04"/>
    <w:rsid w:val="00661FEA"/>
    <w:rsid w:val="00666345"/>
    <w:rsid w:val="006675A0"/>
    <w:rsid w:val="00670DDE"/>
    <w:rsid w:val="0068185C"/>
    <w:rsid w:val="00681E7A"/>
    <w:rsid w:val="00683878"/>
    <w:rsid w:val="00694E99"/>
    <w:rsid w:val="00696422"/>
    <w:rsid w:val="00696906"/>
    <w:rsid w:val="006973DC"/>
    <w:rsid w:val="006B335E"/>
    <w:rsid w:val="006B4D05"/>
    <w:rsid w:val="006B5A87"/>
    <w:rsid w:val="006C13D8"/>
    <w:rsid w:val="006C190A"/>
    <w:rsid w:val="006C4FD7"/>
    <w:rsid w:val="006D080C"/>
    <w:rsid w:val="006D2458"/>
    <w:rsid w:val="006E5D57"/>
    <w:rsid w:val="006E6F41"/>
    <w:rsid w:val="00711F31"/>
    <w:rsid w:val="00712F5B"/>
    <w:rsid w:val="00720979"/>
    <w:rsid w:val="00724C18"/>
    <w:rsid w:val="00727FE5"/>
    <w:rsid w:val="0073275A"/>
    <w:rsid w:val="00732ADE"/>
    <w:rsid w:val="00732F48"/>
    <w:rsid w:val="0073333C"/>
    <w:rsid w:val="00737770"/>
    <w:rsid w:val="00746588"/>
    <w:rsid w:val="0076377D"/>
    <w:rsid w:val="00766984"/>
    <w:rsid w:val="0076712C"/>
    <w:rsid w:val="00770AC4"/>
    <w:rsid w:val="00774565"/>
    <w:rsid w:val="007768A2"/>
    <w:rsid w:val="0079068B"/>
    <w:rsid w:val="00790AB7"/>
    <w:rsid w:val="007A41F6"/>
    <w:rsid w:val="007B2E10"/>
    <w:rsid w:val="007B3314"/>
    <w:rsid w:val="007C48B5"/>
    <w:rsid w:val="007C5642"/>
    <w:rsid w:val="007D16F4"/>
    <w:rsid w:val="007E21DF"/>
    <w:rsid w:val="007F0F45"/>
    <w:rsid w:val="007F512D"/>
    <w:rsid w:val="007F58C6"/>
    <w:rsid w:val="007F62E8"/>
    <w:rsid w:val="00800EFD"/>
    <w:rsid w:val="00801003"/>
    <w:rsid w:val="00802B0C"/>
    <w:rsid w:val="0080478D"/>
    <w:rsid w:val="00805EDF"/>
    <w:rsid w:val="00812915"/>
    <w:rsid w:val="00813D4C"/>
    <w:rsid w:val="0082197B"/>
    <w:rsid w:val="00824858"/>
    <w:rsid w:val="00832202"/>
    <w:rsid w:val="00834096"/>
    <w:rsid w:val="00841ECF"/>
    <w:rsid w:val="00847919"/>
    <w:rsid w:val="00850772"/>
    <w:rsid w:val="008516FC"/>
    <w:rsid w:val="008610E3"/>
    <w:rsid w:val="00861BD2"/>
    <w:rsid w:val="00862C48"/>
    <w:rsid w:val="00865FD5"/>
    <w:rsid w:val="0086680E"/>
    <w:rsid w:val="00870665"/>
    <w:rsid w:val="008750D5"/>
    <w:rsid w:val="008759E6"/>
    <w:rsid w:val="00886B22"/>
    <w:rsid w:val="00893698"/>
    <w:rsid w:val="00893EE3"/>
    <w:rsid w:val="00894E5C"/>
    <w:rsid w:val="008B48D2"/>
    <w:rsid w:val="008B7726"/>
    <w:rsid w:val="008C0ED6"/>
    <w:rsid w:val="008C732E"/>
    <w:rsid w:val="008C78F0"/>
    <w:rsid w:val="008D4E76"/>
    <w:rsid w:val="008D623E"/>
    <w:rsid w:val="008E37AC"/>
    <w:rsid w:val="008E4A3E"/>
    <w:rsid w:val="008E59E6"/>
    <w:rsid w:val="008F3B2A"/>
    <w:rsid w:val="008F772C"/>
    <w:rsid w:val="00901823"/>
    <w:rsid w:val="0090349C"/>
    <w:rsid w:val="009144C9"/>
    <w:rsid w:val="00931305"/>
    <w:rsid w:val="009332FB"/>
    <w:rsid w:val="00934C5F"/>
    <w:rsid w:val="00937160"/>
    <w:rsid w:val="00946277"/>
    <w:rsid w:val="00954697"/>
    <w:rsid w:val="0095510E"/>
    <w:rsid w:val="00955129"/>
    <w:rsid w:val="009666C2"/>
    <w:rsid w:val="00966DAE"/>
    <w:rsid w:val="00974780"/>
    <w:rsid w:val="009812E9"/>
    <w:rsid w:val="00982B5F"/>
    <w:rsid w:val="009A162A"/>
    <w:rsid w:val="009A270C"/>
    <w:rsid w:val="009A3D20"/>
    <w:rsid w:val="009A6317"/>
    <w:rsid w:val="009B68DA"/>
    <w:rsid w:val="009B787F"/>
    <w:rsid w:val="009C6DB9"/>
    <w:rsid w:val="009D2CF5"/>
    <w:rsid w:val="009D633B"/>
    <w:rsid w:val="009E0D34"/>
    <w:rsid w:val="009E7B1A"/>
    <w:rsid w:val="009F17E2"/>
    <w:rsid w:val="009F32DF"/>
    <w:rsid w:val="009F4D3B"/>
    <w:rsid w:val="009F6C85"/>
    <w:rsid w:val="00A13081"/>
    <w:rsid w:val="00A2365A"/>
    <w:rsid w:val="00A25BA5"/>
    <w:rsid w:val="00A34EE1"/>
    <w:rsid w:val="00A35FF2"/>
    <w:rsid w:val="00A3776D"/>
    <w:rsid w:val="00A43524"/>
    <w:rsid w:val="00A46152"/>
    <w:rsid w:val="00A75B07"/>
    <w:rsid w:val="00A810B2"/>
    <w:rsid w:val="00A82A4E"/>
    <w:rsid w:val="00A86870"/>
    <w:rsid w:val="00A86F46"/>
    <w:rsid w:val="00A8757F"/>
    <w:rsid w:val="00A930E0"/>
    <w:rsid w:val="00A93F83"/>
    <w:rsid w:val="00A94E9B"/>
    <w:rsid w:val="00AA30C2"/>
    <w:rsid w:val="00AB09B8"/>
    <w:rsid w:val="00AB4DA0"/>
    <w:rsid w:val="00AB717E"/>
    <w:rsid w:val="00AC1340"/>
    <w:rsid w:val="00AD0A95"/>
    <w:rsid w:val="00AE1DB0"/>
    <w:rsid w:val="00AE383F"/>
    <w:rsid w:val="00AE4B07"/>
    <w:rsid w:val="00AE6E81"/>
    <w:rsid w:val="00AF3FC8"/>
    <w:rsid w:val="00AF5F80"/>
    <w:rsid w:val="00B003A2"/>
    <w:rsid w:val="00B0506D"/>
    <w:rsid w:val="00B1196F"/>
    <w:rsid w:val="00B20D89"/>
    <w:rsid w:val="00B27BAC"/>
    <w:rsid w:val="00B428BE"/>
    <w:rsid w:val="00B5113D"/>
    <w:rsid w:val="00B539D6"/>
    <w:rsid w:val="00B56FD9"/>
    <w:rsid w:val="00B63385"/>
    <w:rsid w:val="00B64343"/>
    <w:rsid w:val="00B91733"/>
    <w:rsid w:val="00B932D8"/>
    <w:rsid w:val="00B93B44"/>
    <w:rsid w:val="00B966F5"/>
    <w:rsid w:val="00BA4469"/>
    <w:rsid w:val="00BA7912"/>
    <w:rsid w:val="00BB27B0"/>
    <w:rsid w:val="00BB74F9"/>
    <w:rsid w:val="00BD2711"/>
    <w:rsid w:val="00BD7D1D"/>
    <w:rsid w:val="00BE6ED7"/>
    <w:rsid w:val="00BF3F63"/>
    <w:rsid w:val="00C0184F"/>
    <w:rsid w:val="00C03EE3"/>
    <w:rsid w:val="00C11055"/>
    <w:rsid w:val="00C13583"/>
    <w:rsid w:val="00C16338"/>
    <w:rsid w:val="00C171B5"/>
    <w:rsid w:val="00C17375"/>
    <w:rsid w:val="00C37396"/>
    <w:rsid w:val="00C40681"/>
    <w:rsid w:val="00C4345C"/>
    <w:rsid w:val="00C51D67"/>
    <w:rsid w:val="00C636A4"/>
    <w:rsid w:val="00C6370E"/>
    <w:rsid w:val="00C65017"/>
    <w:rsid w:val="00C66DED"/>
    <w:rsid w:val="00C75E9A"/>
    <w:rsid w:val="00C82F5C"/>
    <w:rsid w:val="00C83CAD"/>
    <w:rsid w:val="00C851E0"/>
    <w:rsid w:val="00C95E0B"/>
    <w:rsid w:val="00CA0C1B"/>
    <w:rsid w:val="00CA26DE"/>
    <w:rsid w:val="00CB100C"/>
    <w:rsid w:val="00CC6349"/>
    <w:rsid w:val="00CD3E20"/>
    <w:rsid w:val="00CE05FC"/>
    <w:rsid w:val="00CE2421"/>
    <w:rsid w:val="00CF2C96"/>
    <w:rsid w:val="00D0342E"/>
    <w:rsid w:val="00D171ED"/>
    <w:rsid w:val="00D308F2"/>
    <w:rsid w:val="00D31D50"/>
    <w:rsid w:val="00D37DDE"/>
    <w:rsid w:val="00D52A8B"/>
    <w:rsid w:val="00D53280"/>
    <w:rsid w:val="00D6024E"/>
    <w:rsid w:val="00D63153"/>
    <w:rsid w:val="00D72603"/>
    <w:rsid w:val="00D80115"/>
    <w:rsid w:val="00D82B3C"/>
    <w:rsid w:val="00D82E4E"/>
    <w:rsid w:val="00D848AF"/>
    <w:rsid w:val="00D929FC"/>
    <w:rsid w:val="00D932C6"/>
    <w:rsid w:val="00DB5B01"/>
    <w:rsid w:val="00DB6B60"/>
    <w:rsid w:val="00DC4D6A"/>
    <w:rsid w:val="00DC55A7"/>
    <w:rsid w:val="00DF4561"/>
    <w:rsid w:val="00E00713"/>
    <w:rsid w:val="00E00B8F"/>
    <w:rsid w:val="00E10090"/>
    <w:rsid w:val="00E25860"/>
    <w:rsid w:val="00E3009E"/>
    <w:rsid w:val="00E30F1C"/>
    <w:rsid w:val="00E42E3B"/>
    <w:rsid w:val="00E42EFA"/>
    <w:rsid w:val="00E62C52"/>
    <w:rsid w:val="00E769DD"/>
    <w:rsid w:val="00E772AB"/>
    <w:rsid w:val="00E87192"/>
    <w:rsid w:val="00E87A78"/>
    <w:rsid w:val="00E97860"/>
    <w:rsid w:val="00EA1900"/>
    <w:rsid w:val="00EA78EA"/>
    <w:rsid w:val="00EB6EA6"/>
    <w:rsid w:val="00ED5395"/>
    <w:rsid w:val="00ED6520"/>
    <w:rsid w:val="00F04E6C"/>
    <w:rsid w:val="00F05B57"/>
    <w:rsid w:val="00F1458A"/>
    <w:rsid w:val="00F16A76"/>
    <w:rsid w:val="00F22DEA"/>
    <w:rsid w:val="00F235D7"/>
    <w:rsid w:val="00F240E6"/>
    <w:rsid w:val="00F451CC"/>
    <w:rsid w:val="00F500AD"/>
    <w:rsid w:val="00F53BE4"/>
    <w:rsid w:val="00F53F83"/>
    <w:rsid w:val="00F570B1"/>
    <w:rsid w:val="00F70EBB"/>
    <w:rsid w:val="00F815E0"/>
    <w:rsid w:val="00F9062C"/>
    <w:rsid w:val="00F938CB"/>
    <w:rsid w:val="00FA2838"/>
    <w:rsid w:val="00FB0320"/>
    <w:rsid w:val="00FB4C6A"/>
    <w:rsid w:val="00FC0E63"/>
    <w:rsid w:val="00FC3BE1"/>
    <w:rsid w:val="00FD032E"/>
    <w:rsid w:val="00FD1119"/>
    <w:rsid w:val="00FD23C7"/>
    <w:rsid w:val="00FE24FA"/>
    <w:rsid w:val="00FE3CD9"/>
    <w:rsid w:val="00FE4688"/>
    <w:rsid w:val="00FE5B04"/>
    <w:rsid w:val="00FF52C9"/>
    <w:rsid w:val="020777D2"/>
    <w:rsid w:val="02994ED7"/>
    <w:rsid w:val="03AE3B75"/>
    <w:rsid w:val="03D85DB1"/>
    <w:rsid w:val="03D9250A"/>
    <w:rsid w:val="042E1E3A"/>
    <w:rsid w:val="04AC7DC0"/>
    <w:rsid w:val="0517109F"/>
    <w:rsid w:val="051C7196"/>
    <w:rsid w:val="085D5D58"/>
    <w:rsid w:val="0A1A7B12"/>
    <w:rsid w:val="0A564FE9"/>
    <w:rsid w:val="0B48546A"/>
    <w:rsid w:val="0B752C08"/>
    <w:rsid w:val="0B7F5936"/>
    <w:rsid w:val="0C2D51E3"/>
    <w:rsid w:val="0C8E13BA"/>
    <w:rsid w:val="0D3C4ED1"/>
    <w:rsid w:val="0E5B5C7D"/>
    <w:rsid w:val="0EA7115E"/>
    <w:rsid w:val="0F8D2D61"/>
    <w:rsid w:val="12046B7D"/>
    <w:rsid w:val="12417951"/>
    <w:rsid w:val="12455D2C"/>
    <w:rsid w:val="13084B1D"/>
    <w:rsid w:val="13FA6DD1"/>
    <w:rsid w:val="15296444"/>
    <w:rsid w:val="165D1F26"/>
    <w:rsid w:val="166E4F73"/>
    <w:rsid w:val="167E04C9"/>
    <w:rsid w:val="16970417"/>
    <w:rsid w:val="16B41001"/>
    <w:rsid w:val="174F7052"/>
    <w:rsid w:val="17E5314E"/>
    <w:rsid w:val="17EE3EC4"/>
    <w:rsid w:val="182F4B4D"/>
    <w:rsid w:val="18A118C3"/>
    <w:rsid w:val="19603C97"/>
    <w:rsid w:val="19B3675B"/>
    <w:rsid w:val="1A2A3CFE"/>
    <w:rsid w:val="1A751F4C"/>
    <w:rsid w:val="1B206A7F"/>
    <w:rsid w:val="1B5963A1"/>
    <w:rsid w:val="1B6105C1"/>
    <w:rsid w:val="1C1A1C68"/>
    <w:rsid w:val="1C3D0E46"/>
    <w:rsid w:val="1C9C4C8F"/>
    <w:rsid w:val="1DD41E85"/>
    <w:rsid w:val="1DE77AC8"/>
    <w:rsid w:val="1E8745DB"/>
    <w:rsid w:val="2041702C"/>
    <w:rsid w:val="21426017"/>
    <w:rsid w:val="2194482F"/>
    <w:rsid w:val="223119BE"/>
    <w:rsid w:val="22413E83"/>
    <w:rsid w:val="22B52A68"/>
    <w:rsid w:val="22BE7018"/>
    <w:rsid w:val="23C61D14"/>
    <w:rsid w:val="25766063"/>
    <w:rsid w:val="26481CAA"/>
    <w:rsid w:val="2730772D"/>
    <w:rsid w:val="274E5679"/>
    <w:rsid w:val="279B2502"/>
    <w:rsid w:val="27A833EA"/>
    <w:rsid w:val="285A06AA"/>
    <w:rsid w:val="28623638"/>
    <w:rsid w:val="288058F0"/>
    <w:rsid w:val="2A301909"/>
    <w:rsid w:val="2B1255AD"/>
    <w:rsid w:val="2B66078F"/>
    <w:rsid w:val="2B846E20"/>
    <w:rsid w:val="2BAA0220"/>
    <w:rsid w:val="2C0E408A"/>
    <w:rsid w:val="2C1B32E7"/>
    <w:rsid w:val="2DEF05EC"/>
    <w:rsid w:val="2E890A78"/>
    <w:rsid w:val="30D40584"/>
    <w:rsid w:val="31305FD9"/>
    <w:rsid w:val="31AF3A77"/>
    <w:rsid w:val="31D30E4C"/>
    <w:rsid w:val="32706E51"/>
    <w:rsid w:val="32E44CEB"/>
    <w:rsid w:val="33163C18"/>
    <w:rsid w:val="33637BA3"/>
    <w:rsid w:val="33EA7DC6"/>
    <w:rsid w:val="34517D7E"/>
    <w:rsid w:val="34CB663A"/>
    <w:rsid w:val="359F4835"/>
    <w:rsid w:val="369A12D5"/>
    <w:rsid w:val="3847230B"/>
    <w:rsid w:val="39093A04"/>
    <w:rsid w:val="39A24808"/>
    <w:rsid w:val="3B151DD0"/>
    <w:rsid w:val="3BBB6072"/>
    <w:rsid w:val="3BE3227E"/>
    <w:rsid w:val="3C2F5ABA"/>
    <w:rsid w:val="3C733EB5"/>
    <w:rsid w:val="3D2E2B17"/>
    <w:rsid w:val="3D4A7458"/>
    <w:rsid w:val="3E7524EC"/>
    <w:rsid w:val="3E86538E"/>
    <w:rsid w:val="3F010673"/>
    <w:rsid w:val="3F59242C"/>
    <w:rsid w:val="3F7A3302"/>
    <w:rsid w:val="41001552"/>
    <w:rsid w:val="417D2A82"/>
    <w:rsid w:val="41AB3FC7"/>
    <w:rsid w:val="425C3F3D"/>
    <w:rsid w:val="42921BC7"/>
    <w:rsid w:val="434871E4"/>
    <w:rsid w:val="43F6671C"/>
    <w:rsid w:val="455D3B30"/>
    <w:rsid w:val="45F57A70"/>
    <w:rsid w:val="46436CD8"/>
    <w:rsid w:val="4754713D"/>
    <w:rsid w:val="47AF600A"/>
    <w:rsid w:val="481949F8"/>
    <w:rsid w:val="48605B53"/>
    <w:rsid w:val="493048D0"/>
    <w:rsid w:val="4A1E06E8"/>
    <w:rsid w:val="4A2C0FCE"/>
    <w:rsid w:val="4A463E04"/>
    <w:rsid w:val="4BAE1149"/>
    <w:rsid w:val="4C6C0ECD"/>
    <w:rsid w:val="4C6D54D2"/>
    <w:rsid w:val="4CD10FA4"/>
    <w:rsid w:val="4E55767A"/>
    <w:rsid w:val="4EAD3FEC"/>
    <w:rsid w:val="4FC41FFB"/>
    <w:rsid w:val="50701AAD"/>
    <w:rsid w:val="52102EEE"/>
    <w:rsid w:val="527A2C54"/>
    <w:rsid w:val="52BE01DC"/>
    <w:rsid w:val="52D4136D"/>
    <w:rsid w:val="548F022F"/>
    <w:rsid w:val="54DC48C3"/>
    <w:rsid w:val="55285983"/>
    <w:rsid w:val="557F35FB"/>
    <w:rsid w:val="55ED4523"/>
    <w:rsid w:val="56557F73"/>
    <w:rsid w:val="56F1578E"/>
    <w:rsid w:val="577C7FF4"/>
    <w:rsid w:val="5793528B"/>
    <w:rsid w:val="579F769C"/>
    <w:rsid w:val="57F347A6"/>
    <w:rsid w:val="582236D2"/>
    <w:rsid w:val="583C680D"/>
    <w:rsid w:val="587B1A70"/>
    <w:rsid w:val="58C461F6"/>
    <w:rsid w:val="5A570284"/>
    <w:rsid w:val="5A68171D"/>
    <w:rsid w:val="5A756340"/>
    <w:rsid w:val="5BE80BA6"/>
    <w:rsid w:val="5BFA5947"/>
    <w:rsid w:val="5C143024"/>
    <w:rsid w:val="5C3D1100"/>
    <w:rsid w:val="5D423405"/>
    <w:rsid w:val="5D4A51B7"/>
    <w:rsid w:val="5DDD36CD"/>
    <w:rsid w:val="5EC37E73"/>
    <w:rsid w:val="5F6653AA"/>
    <w:rsid w:val="5F7D0041"/>
    <w:rsid w:val="636A7E5B"/>
    <w:rsid w:val="637021DE"/>
    <w:rsid w:val="63AA4F7B"/>
    <w:rsid w:val="6452565B"/>
    <w:rsid w:val="663F3BFB"/>
    <w:rsid w:val="683D5BAE"/>
    <w:rsid w:val="695056F2"/>
    <w:rsid w:val="69EB2D0B"/>
    <w:rsid w:val="6B254DC0"/>
    <w:rsid w:val="6B4319F5"/>
    <w:rsid w:val="6B646440"/>
    <w:rsid w:val="6BCD598D"/>
    <w:rsid w:val="6C296659"/>
    <w:rsid w:val="6CA160A1"/>
    <w:rsid w:val="6CEA11B7"/>
    <w:rsid w:val="6D436320"/>
    <w:rsid w:val="6D7E4FED"/>
    <w:rsid w:val="6E1C04E1"/>
    <w:rsid w:val="6E6F07D1"/>
    <w:rsid w:val="6EFA122F"/>
    <w:rsid w:val="6FC51AF2"/>
    <w:rsid w:val="72BE5F1D"/>
    <w:rsid w:val="737B1ECE"/>
    <w:rsid w:val="73991CFD"/>
    <w:rsid w:val="7422718A"/>
    <w:rsid w:val="769644B3"/>
    <w:rsid w:val="775C0F71"/>
    <w:rsid w:val="77F00BE5"/>
    <w:rsid w:val="78FD5A6F"/>
    <w:rsid w:val="7953190D"/>
    <w:rsid w:val="79D76CA0"/>
    <w:rsid w:val="7AE67ABF"/>
    <w:rsid w:val="7B4C6D72"/>
    <w:rsid w:val="7C577D24"/>
    <w:rsid w:val="7C5863FF"/>
    <w:rsid w:val="7C983899"/>
    <w:rsid w:val="7CAA113C"/>
    <w:rsid w:val="7D99133D"/>
    <w:rsid w:val="7E093FFC"/>
    <w:rsid w:val="7E226387"/>
    <w:rsid w:val="7E7C593B"/>
    <w:rsid w:val="7EE23862"/>
    <w:rsid w:val="7EEB0636"/>
    <w:rsid w:val="7EF424BD"/>
    <w:rsid w:val="7FA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qFormat="1" w:uiPriority="39" w:semiHidden="0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ind w:firstLine="200" w:firstLineChars="200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ind w:firstLineChars="0"/>
      <w:contextualSpacing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spacing w:before="100" w:beforeAutospacing="1" w:after="100" w:afterAutospacing="1"/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0"/>
    <w:unhideWhenUsed/>
    <w:qFormat/>
    <w:uiPriority w:val="9"/>
    <w:pPr>
      <w:keepNext/>
      <w:keepLines/>
      <w:numPr>
        <w:ilvl w:val="2"/>
        <w:numId w:val="1"/>
      </w:numPr>
      <w:spacing w:before="260" w:after="260"/>
      <w:ind w:firstLineChars="0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Document Map"/>
    <w:basedOn w:val="1"/>
    <w:link w:val="28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9"/>
    <w:qFormat/>
    <w:uiPriority w:val="0"/>
  </w:style>
  <w:style w:type="paragraph" w:customStyle="1" w:styleId="9">
    <w:name w:val="Footnote Base"/>
    <w:basedOn w:val="1"/>
    <w:qFormat/>
    <w:uiPriority w:val="0"/>
    <w:pPr>
      <w:keepLines/>
      <w:spacing w:line="200" w:lineRule="atLeast"/>
      <w:ind w:left="1080"/>
    </w:pPr>
    <w:rPr>
      <w:rFonts w:ascii="Arial" w:hAnsi="Arial" w:cs="Times New Roman"/>
      <w:spacing w:val="-5"/>
      <w:sz w:val="16"/>
      <w:szCs w:val="20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</w:style>
  <w:style w:type="paragraph" w:styleId="13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2"/>
    <w:link w:val="37"/>
    <w:unhideWhenUsed/>
    <w:qFormat/>
    <w:uiPriority w:val="99"/>
    <w:pPr>
      <w:tabs>
        <w:tab w:val="center" w:pos="4320"/>
        <w:tab w:val="right" w:pos="8640"/>
      </w:tabs>
      <w:adjustRightInd/>
      <w:snapToGrid/>
      <w:spacing w:line="276" w:lineRule="auto"/>
      <w:ind w:firstLine="0" w:firstLineChars="0"/>
    </w:pPr>
    <w:rPr>
      <w:sz w:val="22"/>
    </w:rPr>
  </w:style>
  <w:style w:type="paragraph" w:styleId="15">
    <w:name w:val="header"/>
    <w:basedOn w:val="1"/>
    <w:link w:val="47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  <w:ind w:firstLine="0" w:firstLineChars="0"/>
    </w:pPr>
    <w:rPr>
      <w:rFonts w:ascii="宋体" w:hAnsi="宋体" w:eastAsia="宋体" w:cs="宋体"/>
      <w:szCs w:val="24"/>
    </w:rPr>
  </w:style>
  <w:style w:type="table" w:styleId="19">
    <w:name w:val="Table Grid"/>
    <w:basedOn w:val="18"/>
    <w:qFormat/>
    <w:uiPriority w:val="39"/>
    <w:pPr>
      <w:ind w:firstLine="360"/>
    </w:pPr>
    <w:rPr>
      <w:rFonts w:eastAsiaTheme="minorEastAsia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表格文字"/>
    <w:basedOn w:val="11"/>
    <w:next w:val="1"/>
    <w:qFormat/>
    <w:uiPriority w:val="0"/>
    <w:pPr>
      <w:spacing w:line="420" w:lineRule="atLeast"/>
      <w:textAlignment w:val="baseline"/>
    </w:p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字符"/>
    <w:basedOn w:val="20"/>
    <w:link w:val="24"/>
    <w:qFormat/>
    <w:uiPriority w:val="1"/>
    <w:rPr>
      <w:rFonts w:eastAsiaTheme="minorEastAsia"/>
    </w:rPr>
  </w:style>
  <w:style w:type="character" w:customStyle="1" w:styleId="26">
    <w:name w:val="批注框文本 字符"/>
    <w:basedOn w:val="20"/>
    <w:link w:val="13"/>
    <w:semiHidden/>
    <w:qFormat/>
    <w:uiPriority w:val="99"/>
    <w:rPr>
      <w:rFonts w:ascii="Tahoma" w:hAnsi="Tahoma"/>
      <w:sz w:val="18"/>
      <w:szCs w:val="18"/>
    </w:rPr>
  </w:style>
  <w:style w:type="character" w:customStyle="1" w:styleId="27">
    <w:name w:val="标题 1 字符"/>
    <w:basedOn w:val="20"/>
    <w:link w:val="3"/>
    <w:qFormat/>
    <w:uiPriority w:val="9"/>
    <w:rPr>
      <w:rFonts w:ascii="Tahoma" w:hAnsi="Tahoma" w:eastAsia="黑体" w:cstheme="minorBidi"/>
      <w:bCs/>
      <w:kern w:val="44"/>
      <w:sz w:val="32"/>
      <w:szCs w:val="44"/>
    </w:rPr>
  </w:style>
  <w:style w:type="character" w:customStyle="1" w:styleId="28">
    <w:name w:val="文档结构图 字符"/>
    <w:basedOn w:val="20"/>
    <w:link w:val="7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29">
    <w:name w:val="标题 2 字符"/>
    <w:basedOn w:val="2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30">
    <w:name w:val="标题 3 字符"/>
    <w:basedOn w:val="20"/>
    <w:link w:val="5"/>
    <w:qFormat/>
    <w:uiPriority w:val="9"/>
    <w:rPr>
      <w:rFonts w:asciiTheme="minorHAnsi" w:hAnsiTheme="minorHAnsi" w:eastAsiaTheme="minorEastAsia" w:cstheme="minorBidi"/>
      <w:b/>
      <w:bCs/>
      <w:sz w:val="24"/>
      <w:szCs w:val="32"/>
    </w:rPr>
  </w:style>
  <w:style w:type="paragraph" w:customStyle="1" w:styleId="31">
    <w:name w:val="列出段落1"/>
    <w:basedOn w:val="1"/>
    <w:qFormat/>
    <w:uiPriority w:val="34"/>
    <w:pPr>
      <w:widowControl w:val="0"/>
      <w:adjustRightInd/>
      <w:snapToGrid/>
      <w:ind w:firstLine="420"/>
      <w:jc w:val="both"/>
    </w:pPr>
    <w:rPr>
      <w:kern w:val="2"/>
      <w:sz w:val="21"/>
    </w:rPr>
  </w:style>
  <w:style w:type="paragraph" w:styleId="32">
    <w:name w:val="List Paragraph"/>
    <w:basedOn w:val="1"/>
    <w:qFormat/>
    <w:uiPriority w:val="34"/>
    <w:pPr>
      <w:ind w:firstLine="420"/>
    </w:pPr>
  </w:style>
  <w:style w:type="paragraph" w:customStyle="1" w:styleId="33">
    <w:name w:val="Style4"/>
    <w:basedOn w:val="1"/>
    <w:link w:val="36"/>
    <w:qFormat/>
    <w:uiPriority w:val="0"/>
    <w:pPr>
      <w:numPr>
        <w:ilvl w:val="0"/>
        <w:numId w:val="2"/>
      </w:numPr>
      <w:adjustRightInd/>
      <w:snapToGrid/>
      <w:spacing w:afterLines="50"/>
      <w:ind w:firstLine="0" w:firstLineChars="0"/>
      <w:jc w:val="both"/>
    </w:pPr>
    <w:rPr>
      <w:rFonts w:ascii="宋体" w:hAnsi="宋体" w:eastAsia="宋体"/>
      <w:sz w:val="21"/>
      <w:szCs w:val="21"/>
    </w:rPr>
  </w:style>
  <w:style w:type="paragraph" w:customStyle="1" w:styleId="34">
    <w:name w:val="Style3"/>
    <w:basedOn w:val="1"/>
    <w:link w:val="35"/>
    <w:qFormat/>
    <w:uiPriority w:val="0"/>
    <w:pPr>
      <w:adjustRightInd/>
      <w:snapToGrid/>
      <w:spacing w:after="100" w:afterAutospacing="1"/>
      <w:ind w:firstLine="420"/>
      <w:jc w:val="both"/>
    </w:pPr>
    <w:rPr>
      <w:rFonts w:asciiTheme="majorEastAsia" w:hAnsiTheme="majorEastAsia" w:eastAsiaTheme="majorEastAsia"/>
      <w:sz w:val="21"/>
      <w:szCs w:val="21"/>
    </w:rPr>
  </w:style>
  <w:style w:type="character" w:customStyle="1" w:styleId="35">
    <w:name w:val="Style3 Char"/>
    <w:basedOn w:val="20"/>
    <w:link w:val="34"/>
    <w:qFormat/>
    <w:uiPriority w:val="0"/>
    <w:rPr>
      <w:rFonts w:asciiTheme="majorEastAsia" w:hAnsiTheme="majorEastAsia" w:eastAsiaTheme="majorEastAsia"/>
      <w:sz w:val="21"/>
      <w:szCs w:val="21"/>
    </w:rPr>
  </w:style>
  <w:style w:type="character" w:customStyle="1" w:styleId="36">
    <w:name w:val="Style4 Char"/>
    <w:basedOn w:val="35"/>
    <w:link w:val="33"/>
    <w:qFormat/>
    <w:uiPriority w:val="0"/>
    <w:rPr>
      <w:rFonts w:ascii="宋体" w:hAnsi="宋体" w:eastAsia="宋体"/>
      <w:sz w:val="21"/>
      <w:szCs w:val="21"/>
    </w:rPr>
  </w:style>
  <w:style w:type="character" w:customStyle="1" w:styleId="37">
    <w:name w:val="页脚 字符"/>
    <w:basedOn w:val="20"/>
    <w:link w:val="14"/>
    <w:qFormat/>
    <w:uiPriority w:val="99"/>
    <w:rPr>
      <w:rFonts w:eastAsiaTheme="minorEastAsia"/>
    </w:rPr>
  </w:style>
  <w:style w:type="paragraph" w:customStyle="1" w:styleId="38">
    <w:name w:val="TOC 标题1"/>
    <w:basedOn w:val="3"/>
    <w:next w:val="1"/>
    <w:unhideWhenUsed/>
    <w:qFormat/>
    <w:uiPriority w:val="39"/>
    <w:pPr>
      <w:adjustRightInd/>
      <w:snapToGrid/>
      <w:spacing w:before="480" w:after="0" w:line="276" w:lineRule="auto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table" w:customStyle="1" w:styleId="39">
    <w:name w:val="网格型1"/>
    <w:basedOn w:val="1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font1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31"/>
    <w:basedOn w:val="20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42">
    <w:name w:val="font21"/>
    <w:basedOn w:val="20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  <w:vertAlign w:val="superscript"/>
    </w:rPr>
  </w:style>
  <w:style w:type="paragraph" w:customStyle="1" w:styleId="43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4 字符"/>
    <w:basedOn w:val="20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6">
    <w:name w:val="正文 A A"/>
    <w:qFormat/>
    <w:uiPriority w:val="0"/>
    <w:pPr>
      <w:spacing w:line="360" w:lineRule="auto"/>
    </w:pPr>
    <w:rPr>
      <w:rFonts w:ascii="Lucida Grande" w:hAnsi="Lucida Grande" w:eastAsia="ヒラギノ角ゴ Pro W3" w:cs="Times New Roman"/>
      <w:color w:val="000000"/>
      <w:kern w:val="2"/>
      <w:sz w:val="24"/>
      <w:lang w:val="en-US" w:eastAsia="zh-CN" w:bidi="ar-SA"/>
    </w:rPr>
  </w:style>
  <w:style w:type="character" w:customStyle="1" w:styleId="47">
    <w:name w:val="页眉 字符"/>
    <w:basedOn w:val="20"/>
    <w:link w:val="15"/>
    <w:qFormat/>
    <w:uiPriority w:val="99"/>
    <w:rPr>
      <w:rFonts w:ascii="Tahoma" w:hAnsi="Tahoma" w:eastAsiaTheme="minorEastAsia" w:cstheme="minorBidi"/>
      <w:sz w:val="18"/>
      <w:szCs w:val="22"/>
    </w:rPr>
  </w:style>
  <w:style w:type="paragraph" w:customStyle="1" w:styleId="48">
    <w:name w:val="ql-align-center"/>
    <w:basedOn w:val="1"/>
    <w:qFormat/>
    <w:uiPriority w:val="0"/>
    <w:pPr>
      <w:adjustRightInd/>
      <w:snapToGrid/>
      <w:spacing w:before="100" w:beforeAutospacing="1" w:after="100" w:afterAutospacing="1"/>
      <w:ind w:firstLine="0" w:firstLineChars="0"/>
    </w:pPr>
    <w:rPr>
      <w:rFonts w:ascii="宋体" w:hAnsi="宋体" w:eastAsia="宋体" w:cs="宋体"/>
      <w:szCs w:val="24"/>
    </w:rPr>
  </w:style>
  <w:style w:type="paragraph" w:customStyle="1" w:styleId="49">
    <w:name w:val="TOC 标题2"/>
    <w:basedOn w:val="3"/>
    <w:next w:val="1"/>
    <w:unhideWhenUsed/>
    <w:qFormat/>
    <w:uiPriority w:val="39"/>
    <w:pPr>
      <w:numPr>
        <w:numId w:val="0"/>
      </w:numPr>
      <w:adjustRightInd/>
      <w:snapToGrid/>
      <w:spacing w:before="240" w:after="0" w:line="259" w:lineRule="auto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Cs w:val="32"/>
    </w:rPr>
  </w:style>
  <w:style w:type="paragraph" w:customStyle="1" w:styleId="50">
    <w:name w:val="．正文"/>
    <w:basedOn w:val="1"/>
    <w:link w:val="51"/>
    <w:qFormat/>
    <w:uiPriority w:val="0"/>
    <w:pPr>
      <w:adjustRightInd/>
      <w:spacing w:line="360" w:lineRule="auto"/>
      <w:ind w:firstLine="480"/>
    </w:pPr>
    <w:rPr>
      <w:rFonts w:ascii="宋体" w:hAnsi="宋体" w:eastAsia="宋体" w:cs="Times New Roman"/>
      <w:color w:val="000000"/>
      <w:szCs w:val="24"/>
    </w:rPr>
  </w:style>
  <w:style w:type="character" w:customStyle="1" w:styleId="51">
    <w:name w:val="．正文 Char"/>
    <w:link w:val="50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52">
    <w:name w:val="*正文"/>
    <w:basedOn w:val="1"/>
    <w:link w:val="53"/>
    <w:qFormat/>
    <w:uiPriority w:val="0"/>
    <w:pPr>
      <w:widowControl w:val="0"/>
      <w:adjustRightInd/>
      <w:snapToGrid/>
      <w:spacing w:line="360" w:lineRule="auto"/>
      <w:ind w:firstLine="480"/>
      <w:jc w:val="both"/>
    </w:pPr>
    <w:rPr>
      <w:rFonts w:ascii="宋体" w:hAnsi="宋体" w:eastAsia="宋体" w:cs="黑体"/>
      <w:kern w:val="2"/>
      <w:szCs w:val="21"/>
    </w:rPr>
  </w:style>
  <w:style w:type="character" w:customStyle="1" w:styleId="53">
    <w:name w:val="*正文 Char"/>
    <w:link w:val="52"/>
    <w:qFormat/>
    <w:uiPriority w:val="0"/>
    <w:rPr>
      <w:rFonts w:ascii="宋体" w:hAnsi="宋体" w:cs="黑体"/>
      <w:kern w:val="2"/>
      <w:sz w:val="24"/>
      <w:szCs w:val="21"/>
    </w:rPr>
  </w:style>
  <w:style w:type="character" w:customStyle="1" w:styleId="54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55">
    <w:name w:val="样式2"/>
    <w:basedOn w:val="31"/>
    <w:qFormat/>
    <w:uiPriority w:val="0"/>
    <w:pPr>
      <w:numPr>
        <w:ilvl w:val="0"/>
        <w:numId w:val="3"/>
      </w:numPr>
      <w:snapToGrid w:val="0"/>
      <w:spacing w:line="360" w:lineRule="auto"/>
      <w:ind w:firstLine="0" w:firstLineChars="0"/>
      <w:contextualSpacing/>
      <w:jc w:val="left"/>
    </w:pPr>
    <w:rPr>
      <w:rFonts w:ascii="宋体" w:hAnsi="宋体" w:eastAsia="宋体" w:cs="Times New Roman"/>
      <w:b/>
      <w:spacing w:val="20"/>
      <w:sz w:val="24"/>
      <w:szCs w:val="21"/>
    </w:rPr>
  </w:style>
  <w:style w:type="paragraph" w:customStyle="1" w:styleId="56">
    <w:name w:val=".正文"/>
    <w:basedOn w:val="1"/>
    <w:link w:val="57"/>
    <w:qFormat/>
    <w:uiPriority w:val="0"/>
    <w:pPr>
      <w:widowControl w:val="0"/>
      <w:adjustRightInd/>
      <w:snapToGrid/>
      <w:spacing w:line="360" w:lineRule="auto"/>
      <w:ind w:firstLine="480"/>
      <w:jc w:val="both"/>
    </w:pPr>
    <w:rPr>
      <w:rFonts w:ascii="宋体" w:hAnsi="宋体" w:eastAsia="宋体" w:cs="Times New Roman"/>
      <w:kern w:val="2"/>
      <w:szCs w:val="21"/>
    </w:rPr>
  </w:style>
  <w:style w:type="character" w:customStyle="1" w:styleId="57">
    <w:name w:val=".正文 Char"/>
    <w:link w:val="56"/>
    <w:qFormat/>
    <w:uiPriority w:val="0"/>
    <w:rPr>
      <w:rFonts w:ascii="宋体" w:hAnsi="宋体"/>
      <w:kern w:val="2"/>
      <w:sz w:val="24"/>
      <w:szCs w:val="21"/>
    </w:rPr>
  </w:style>
  <w:style w:type="table" w:customStyle="1" w:styleId="58">
    <w:name w:val="清单表 4 - 着色 11"/>
    <w:basedOn w:val="18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9">
    <w:name w:val="清单表 4 - 着色 51"/>
    <w:basedOn w:val="18"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0">
    <w:name w:val="网格表 4 - 着色 11"/>
    <w:basedOn w:val="18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1772B1-CBA1-47BE-A4F9-788436C65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淄博祥龙测控技术有限公司</Company>
  <Pages>5</Pages>
  <Words>2755</Words>
  <Characters>3315</Characters>
  <Lines>27</Lines>
  <Paragraphs>7</Paragraphs>
  <TotalTime>1</TotalTime>
  <ScaleCrop>false</ScaleCrop>
  <LinksUpToDate>false</LinksUpToDate>
  <CharactersWithSpaces>3343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2018-10-25T08:14:00Z</dcterms:created>
  <dc:creator>Administrato</dc:creator>
  <cp:lastModifiedBy>jdbwb</cp:lastModifiedBy>
  <dcterms:modified xsi:type="dcterms:W3CDTF">2023-10-25T02:54:58Z</dcterms:modified>
  <dc:subject>设计方案</dc:subject>
  <dc:title>KJ1121煤矿采空区火灾多参数监测定系统技术方案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607E5F0CC16E4DAB9E6701AF353F39EB_13</vt:lpwstr>
  </property>
</Properties>
</file>