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8"/>
          <w:szCs w:val="48"/>
        </w:rPr>
      </w:pPr>
      <w:bookmarkStart w:id="0" w:name="_GoBack"/>
      <w:bookmarkEnd w:id="0"/>
      <w:r>
        <w:rPr>
          <w:rFonts w:hint="eastAsia" w:ascii="方正小标宋简体" w:hAnsi="方正小标宋简体" w:eastAsia="方正小标宋简体" w:cs="方正小标宋简体"/>
          <w:b w:val="0"/>
          <w:bCs w:val="0"/>
          <w:sz w:val="48"/>
          <w:szCs w:val="48"/>
          <w:lang w:val="en-US" w:eastAsia="zh-CN"/>
        </w:rPr>
        <w:t>崔庄煤矿</w:t>
      </w:r>
      <w:r>
        <w:rPr>
          <w:rFonts w:hint="eastAsia" w:ascii="方正小标宋简体" w:hAnsi="方正小标宋简体" w:eastAsia="方正小标宋简体" w:cs="方正小标宋简体"/>
          <w:b w:val="0"/>
          <w:bCs w:val="0"/>
          <w:sz w:val="48"/>
          <w:szCs w:val="48"/>
        </w:rPr>
        <w:t>智慧矿区应急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8"/>
          <w:szCs w:val="48"/>
          <w:lang w:val="en-US" w:eastAsia="zh-CN"/>
        </w:rPr>
      </w:pPr>
      <w:r>
        <w:rPr>
          <w:rFonts w:hint="eastAsia" w:ascii="方正小标宋简体" w:hAnsi="方正小标宋简体" w:eastAsia="方正小标宋简体" w:cs="方正小标宋简体"/>
          <w:b w:val="0"/>
          <w:bCs w:val="0"/>
          <w:sz w:val="48"/>
          <w:szCs w:val="48"/>
        </w:rPr>
        <w:t>互联互通监管平台</w:t>
      </w:r>
      <w:r>
        <w:rPr>
          <w:rFonts w:hint="eastAsia" w:ascii="方正小标宋简体" w:hAnsi="方正小标宋简体" w:eastAsia="方正小标宋简体" w:cs="方正小标宋简体"/>
          <w:b w:val="0"/>
          <w:bCs w:val="0"/>
          <w:sz w:val="48"/>
          <w:szCs w:val="48"/>
          <w:lang w:val="en-US" w:eastAsia="zh-CN"/>
        </w:rPr>
        <w:t>技术要求</w:t>
      </w:r>
    </w:p>
    <w:p>
      <w:pPr>
        <w:spacing w:before="312" w:beforeLines="100"/>
        <w:ind w:firstLine="640" w:firstLineChars="200"/>
        <w:rPr>
          <w:rFonts w:hint="eastAsia" w:ascii="方正黑体简体" w:hAnsi="方正黑体简体" w:eastAsia="方正黑体简体" w:cs="方正黑体简体"/>
          <w:b w:val="0"/>
          <w:bCs w:val="0"/>
          <w:sz w:val="32"/>
          <w:szCs w:val="32"/>
        </w:rPr>
      </w:pPr>
      <w:r>
        <w:rPr>
          <w:rFonts w:hint="eastAsia" w:ascii="方正黑体简体" w:hAnsi="方正黑体简体" w:eastAsia="方正黑体简体" w:cs="方正黑体简体"/>
          <w:b w:val="0"/>
          <w:bCs w:val="0"/>
          <w:sz w:val="32"/>
          <w:szCs w:val="32"/>
        </w:rPr>
        <w:t>一、建设背景</w:t>
      </w:r>
    </w:p>
    <w:p>
      <w:pPr>
        <w:ind w:firstLine="640" w:firstLineChars="200"/>
        <w:rPr>
          <w:rFonts w:ascii="仿宋" w:hAnsi="仿宋" w:eastAsia="仿宋"/>
          <w:sz w:val="32"/>
          <w:szCs w:val="32"/>
        </w:rPr>
      </w:pPr>
      <w:r>
        <w:rPr>
          <w:rFonts w:hint="eastAsia" w:ascii="仿宋" w:hAnsi="仿宋" w:eastAsia="仿宋"/>
          <w:sz w:val="32"/>
          <w:szCs w:val="32"/>
        </w:rPr>
        <w:t>按照《山东省煤矿重大灾害风险防控建设工作实施方案》要求，需要建设应急处置视频智能通信系统，要求搭建音视频通讯软件。市能源局于2024年2月20日下发了《关于做好应急系统互联互通建设工作的通知》。</w:t>
      </w:r>
    </w:p>
    <w:p>
      <w:pPr>
        <w:ind w:firstLine="640" w:firstLineChars="200"/>
        <w:rPr>
          <w:rFonts w:hint="eastAsia" w:ascii="方正黑体简体" w:hAnsi="方正黑体简体" w:eastAsia="方正黑体简体" w:cs="方正黑体简体"/>
          <w:b w:val="0"/>
          <w:bCs w:val="0"/>
          <w:sz w:val="32"/>
          <w:szCs w:val="32"/>
        </w:rPr>
      </w:pPr>
      <w:r>
        <w:rPr>
          <w:rFonts w:hint="eastAsia" w:ascii="方正黑体简体" w:hAnsi="方正黑体简体" w:eastAsia="方正黑体简体" w:cs="方正黑体简体"/>
          <w:b w:val="0"/>
          <w:bCs w:val="0"/>
          <w:sz w:val="32"/>
          <w:szCs w:val="32"/>
        </w:rPr>
        <w:t>二、建设内容</w:t>
      </w:r>
    </w:p>
    <w:p>
      <w:pPr>
        <w:ind w:firstLine="640" w:firstLineChars="200"/>
        <w:rPr>
          <w:rFonts w:ascii="仿宋" w:hAnsi="仿宋" w:eastAsia="仿宋"/>
          <w:sz w:val="32"/>
          <w:szCs w:val="32"/>
        </w:rPr>
      </w:pPr>
      <w:r>
        <w:rPr>
          <w:rFonts w:hint="eastAsia" w:ascii="仿宋" w:hAnsi="仿宋" w:eastAsia="仿宋"/>
          <w:sz w:val="32"/>
          <w:szCs w:val="32"/>
        </w:rPr>
        <w:t>利用现有能源局视频专网建设融合通信调度平台，实现音频、视频、监控、移动手机终端、可视化调度话机、数据的全面覆盖，同时完善市能源局与煤矿之间的网络建设及安全情况。</w:t>
      </w:r>
    </w:p>
    <w:p>
      <w:pPr>
        <w:ind w:firstLine="640" w:firstLineChars="200"/>
        <w:rPr>
          <w:rFonts w:hint="eastAsia" w:ascii="方正楷体简体" w:hAnsi="方正楷体简体" w:eastAsia="方正楷体简体" w:cs="方正楷体简体"/>
          <w:b w:val="0"/>
          <w:bCs w:val="0"/>
          <w:sz w:val="32"/>
          <w:szCs w:val="32"/>
        </w:rPr>
      </w:pPr>
      <w:r>
        <w:rPr>
          <w:rFonts w:hint="eastAsia" w:ascii="方正楷体简体" w:hAnsi="方正楷体简体" w:eastAsia="方正楷体简体" w:cs="方正楷体简体"/>
          <w:b w:val="0"/>
          <w:bCs w:val="0"/>
          <w:sz w:val="32"/>
          <w:szCs w:val="32"/>
        </w:rPr>
        <w:t>（一）应急处置音视频智能通讯调度平台</w:t>
      </w:r>
    </w:p>
    <w:p>
      <w:pPr>
        <w:ind w:firstLine="640" w:firstLineChars="200"/>
        <w:rPr>
          <w:rFonts w:ascii="仿宋" w:hAnsi="仿宋" w:eastAsia="仿宋"/>
          <w:sz w:val="32"/>
          <w:szCs w:val="32"/>
        </w:rPr>
      </w:pPr>
      <w:r>
        <w:rPr>
          <w:rFonts w:hint="eastAsia" w:ascii="仿宋" w:hAnsi="仿宋" w:eastAsia="仿宋"/>
          <w:sz w:val="32"/>
          <w:szCs w:val="32"/>
        </w:rPr>
        <w:t>通过音视频智能通讯调度平台打通各矿指挥调度中心、各矿会议室、各系统平台与市源局指挥中心如可视化调度话机、视频监控设备、视频会议终端、移动电话等各种音视频资源的互联互通，实现一张图指挥调度，打通不同通信设备间的通信壁垒，实现不同制式通信设备之间的互通交流；同时实现领导手机端随时随地调度可视化话机、查看视频监控、接入视频会议等功能。</w:t>
      </w:r>
    </w:p>
    <w:p>
      <w:pPr>
        <w:ind w:firstLine="643" w:firstLineChars="200"/>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（二）可视化调度话机</w:t>
      </w:r>
    </w:p>
    <w:p>
      <w:pPr>
        <w:ind w:firstLine="640" w:firstLineChars="200"/>
        <w:rPr>
          <w:rFonts w:ascii="仿宋" w:hAnsi="仿宋" w:eastAsia="仿宋"/>
          <w:sz w:val="32"/>
          <w:szCs w:val="32"/>
        </w:rPr>
      </w:pPr>
      <w:r>
        <w:rPr>
          <w:rFonts w:hint="eastAsia" w:ascii="仿宋" w:hAnsi="仿宋" w:eastAsia="仿宋"/>
          <w:sz w:val="32"/>
          <w:szCs w:val="32"/>
        </w:rPr>
        <w:t>在煤矿调度室新建一套可视化调度话机，通过网络IP视频电话实现一对一、一对多的语音呼叫功能，实现各矿调度室与市能源局视频话机间的互联互通。</w:t>
      </w:r>
    </w:p>
    <w:p>
      <w:pPr>
        <w:ind w:firstLine="643" w:firstLineChars="200"/>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（三）基础网络</w:t>
      </w:r>
    </w:p>
    <w:p>
      <w:pPr>
        <w:ind w:firstLine="640" w:firstLineChars="200"/>
        <w:jc w:val="left"/>
        <w:rPr>
          <w:rFonts w:ascii="仿宋" w:hAnsi="仿宋" w:eastAsia="仿宋"/>
          <w:sz w:val="32"/>
          <w:szCs w:val="32"/>
        </w:rPr>
      </w:pPr>
      <w:r>
        <w:rPr>
          <w:rFonts w:hint="eastAsia" w:ascii="仿宋" w:hAnsi="仿宋" w:eastAsia="仿宋"/>
          <w:sz w:val="32"/>
          <w:szCs w:val="32"/>
        </w:rPr>
        <w:t>目前该系统是基于各煤矿与市能源局的视频传输专网具备的前提下，如具备，需要提供专网</w:t>
      </w:r>
      <w:r>
        <w:rPr>
          <w:rFonts w:ascii="仿宋" w:hAnsi="仿宋" w:eastAsia="仿宋"/>
          <w:sz w:val="32"/>
          <w:szCs w:val="32"/>
        </w:rPr>
        <w:t>IP供</w:t>
      </w:r>
      <w:r>
        <w:rPr>
          <w:rFonts w:hint="eastAsia" w:ascii="仿宋" w:hAnsi="仿宋" w:eastAsia="仿宋"/>
          <w:sz w:val="32"/>
          <w:szCs w:val="32"/>
        </w:rPr>
        <w:t>可视</w:t>
      </w:r>
      <w:r>
        <w:rPr>
          <w:rFonts w:ascii="仿宋" w:hAnsi="仿宋" w:eastAsia="仿宋"/>
          <w:sz w:val="32"/>
          <w:szCs w:val="32"/>
        </w:rPr>
        <w:t>话话机使用，</w:t>
      </w:r>
      <w:r>
        <w:rPr>
          <w:rFonts w:hint="eastAsia" w:ascii="仿宋" w:hAnsi="仿宋" w:eastAsia="仿宋"/>
          <w:sz w:val="32"/>
          <w:szCs w:val="32"/>
        </w:rPr>
        <w:t>如不具备需要与市能源局视频传输专网进行联通并需要提供专网I</w:t>
      </w:r>
      <w:r>
        <w:rPr>
          <w:rFonts w:ascii="仿宋" w:hAnsi="仿宋" w:eastAsia="仿宋"/>
          <w:sz w:val="32"/>
          <w:szCs w:val="32"/>
        </w:rPr>
        <w:t>P</w:t>
      </w:r>
      <w:r>
        <w:rPr>
          <w:rFonts w:hint="eastAsia" w:ascii="仿宋" w:hAnsi="仿宋" w:eastAsia="仿宋"/>
          <w:sz w:val="32"/>
          <w:szCs w:val="32"/>
        </w:rPr>
        <w:t>。</w:t>
      </w:r>
    </w:p>
    <w:p>
      <w:pPr>
        <w:rPr>
          <w:rFonts w:ascii="仿宋" w:hAnsi="仿宋" w:eastAsia="仿宋"/>
          <w:b/>
          <w:bCs/>
          <w:sz w:val="32"/>
          <w:szCs w:val="32"/>
        </w:rPr>
      </w:pPr>
      <w:r>
        <w:rPr>
          <w:rFonts w:hint="eastAsia" w:ascii="仿宋" w:hAnsi="仿宋" w:eastAsia="仿宋"/>
          <w:b/>
          <w:bCs/>
          <w:sz w:val="32"/>
          <w:szCs w:val="32"/>
        </w:rPr>
        <w:t>（四）网络安全</w:t>
      </w:r>
    </w:p>
    <w:p>
      <w:pPr>
        <w:ind w:firstLine="640" w:firstLineChars="200"/>
        <w:jc w:val="left"/>
        <w:rPr>
          <w:rFonts w:ascii="仿宋" w:hAnsi="仿宋" w:eastAsia="仿宋"/>
          <w:sz w:val="32"/>
          <w:szCs w:val="32"/>
        </w:rPr>
      </w:pPr>
      <w:r>
        <w:rPr>
          <w:rFonts w:hint="eastAsia" w:ascii="仿宋" w:hAnsi="仿宋" w:eastAsia="仿宋"/>
          <w:sz w:val="32"/>
          <w:szCs w:val="32"/>
        </w:rPr>
        <w:t>增加网络安全设备（包含网络交换机、防火墙、网闸设备），确保各煤矿与市能源局的网络实现基础的安全防护和完全的物理隔离。</w:t>
      </w:r>
    </w:p>
    <w:p>
      <w:pPr>
        <w:rPr>
          <w:rFonts w:ascii="仿宋" w:hAnsi="仿宋" w:eastAsia="仿宋"/>
          <w:b/>
          <w:bCs/>
          <w:sz w:val="32"/>
          <w:szCs w:val="32"/>
        </w:rPr>
      </w:pPr>
      <w:r>
        <w:rPr>
          <w:rFonts w:hint="eastAsia" w:ascii="仿宋" w:hAnsi="仿宋" w:eastAsia="仿宋"/>
          <w:b/>
          <w:bCs/>
          <w:sz w:val="32"/>
          <w:szCs w:val="32"/>
        </w:rPr>
        <w:t>（五）领导指挥屏（矿领导与煤矿调度中心互联互通）</w:t>
      </w:r>
    </w:p>
    <w:p>
      <w:pPr>
        <w:ind w:firstLine="640" w:firstLineChars="200"/>
        <w:jc w:val="left"/>
        <w:rPr>
          <w:rFonts w:hint="eastAsia" w:ascii="仿宋" w:hAnsi="仿宋" w:eastAsia="仿宋"/>
          <w:sz w:val="32"/>
          <w:szCs w:val="32"/>
        </w:rPr>
      </w:pPr>
      <w:r>
        <w:rPr>
          <w:rFonts w:hint="eastAsia" w:ascii="仿宋" w:hAnsi="仿宋" w:eastAsia="仿宋"/>
          <w:sz w:val="32"/>
          <w:szCs w:val="32"/>
        </w:rPr>
        <w:t>在矿领导办公室实现对所有音视频资源的调度及视频入会、过程监管等功能，在具备应急处置音视频智能通讯指挥调度平台的前提下在矿领导办公室与指挥中心大屏间实现大小屏应急指挥控制系统互联互通。</w:t>
      </w:r>
    </w:p>
    <w:p>
      <w:pPr>
        <w:numPr>
          <w:ilvl w:val="0"/>
          <w:numId w:val="0"/>
        </w:numPr>
        <w:ind w:firstLine="640" w:firstLineChars="200"/>
        <w:jc w:val="left"/>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三、供应商要求</w:t>
      </w:r>
    </w:p>
    <w:p>
      <w:pPr>
        <w:numPr>
          <w:ilvl w:val="0"/>
          <w:numId w:val="0"/>
        </w:numPr>
        <w:ind w:left="642" w:leftChars="0" w:firstLine="0" w:firstLineChars="0"/>
        <w:jc w:val="left"/>
        <w:rPr>
          <w:rFonts w:hint="eastAsia" w:ascii="仿宋" w:hAnsi="仿宋" w:eastAsia="仿宋"/>
          <w:sz w:val="32"/>
          <w:szCs w:val="32"/>
          <w:lang w:val="en-US" w:eastAsia="zh-CN"/>
        </w:rPr>
      </w:pPr>
      <w:r>
        <w:rPr>
          <w:rFonts w:hint="eastAsia" w:ascii="仿宋" w:hAnsi="仿宋" w:eastAsia="仿宋" w:cstheme="minorBidi"/>
          <w:kern w:val="2"/>
          <w:sz w:val="32"/>
          <w:szCs w:val="32"/>
          <w:lang w:val="en-US" w:eastAsia="zh-CN" w:bidi="ar-SA"/>
        </w:rPr>
        <w:t>1.</w:t>
      </w:r>
      <w:r>
        <w:rPr>
          <w:rFonts w:hint="eastAsia" w:ascii="仿宋" w:hAnsi="仿宋" w:eastAsia="仿宋"/>
          <w:sz w:val="32"/>
          <w:szCs w:val="32"/>
          <w:lang w:val="en-US" w:eastAsia="zh-CN"/>
        </w:rPr>
        <w:t>在中华人民共和国境内注册，具有独立法人资格；</w:t>
      </w:r>
    </w:p>
    <w:p>
      <w:pPr>
        <w:numPr>
          <w:ilvl w:val="0"/>
          <w:numId w:val="0"/>
        </w:numPr>
        <w:ind w:left="642" w:leftChars="0" w:firstLine="0" w:firstLineChars="0"/>
        <w:jc w:val="left"/>
        <w:rPr>
          <w:rFonts w:hint="eastAsia" w:ascii="仿宋" w:hAnsi="仿宋" w:eastAsia="仿宋"/>
          <w:sz w:val="32"/>
          <w:szCs w:val="32"/>
          <w:lang w:val="en-US" w:eastAsia="zh-CN"/>
        </w:rPr>
      </w:pPr>
      <w:r>
        <w:rPr>
          <w:rFonts w:hint="eastAsia" w:ascii="仿宋" w:hAnsi="仿宋" w:eastAsia="仿宋" w:cstheme="minorBidi"/>
          <w:kern w:val="2"/>
          <w:sz w:val="32"/>
          <w:szCs w:val="32"/>
          <w:lang w:val="en-US" w:eastAsia="zh-CN" w:bidi="ar-SA"/>
        </w:rPr>
        <w:t>2.</w:t>
      </w:r>
      <w:r>
        <w:rPr>
          <w:rFonts w:hint="eastAsia" w:ascii="仿宋" w:hAnsi="仿宋" w:eastAsia="仿宋"/>
          <w:sz w:val="32"/>
          <w:szCs w:val="32"/>
        </w:rPr>
        <w:t>具有履行合同所必需的设备和专业技术能力；</w:t>
      </w:r>
    </w:p>
    <w:p>
      <w:pPr>
        <w:numPr>
          <w:ilvl w:val="0"/>
          <w:numId w:val="0"/>
        </w:numPr>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具备完善的质量管理体系、信息安全体系、环境保护体系及良好企业社会责任。</w:t>
      </w:r>
    </w:p>
    <w:p>
      <w:pPr>
        <w:numPr>
          <w:ilvl w:val="0"/>
          <w:numId w:val="0"/>
        </w:numPr>
        <w:ind w:firstLine="640" w:firstLineChars="200"/>
        <w:jc w:val="left"/>
        <w:rPr>
          <w:rFonts w:hint="eastAsia" w:ascii="仿宋" w:hAnsi="仿宋" w:eastAsia="仿宋"/>
          <w:sz w:val="32"/>
          <w:szCs w:val="32"/>
        </w:rPr>
      </w:pPr>
      <w:r>
        <w:rPr>
          <w:rFonts w:hint="eastAsia" w:ascii="仿宋" w:hAnsi="仿宋" w:eastAsia="仿宋"/>
          <w:sz w:val="32"/>
          <w:szCs w:val="32"/>
        </w:rPr>
        <w:t>4</w:t>
      </w:r>
      <w:r>
        <w:rPr>
          <w:rFonts w:hint="eastAsia" w:ascii="仿宋" w:hAnsi="仿宋" w:eastAsia="仿宋"/>
          <w:sz w:val="32"/>
          <w:szCs w:val="32"/>
          <w:lang w:val="en-US" w:eastAsia="zh-CN"/>
        </w:rPr>
        <w:t>.</w:t>
      </w:r>
      <w:r>
        <w:rPr>
          <w:rFonts w:hint="eastAsia" w:ascii="仿宋" w:hAnsi="仿宋" w:eastAsia="仿宋"/>
          <w:sz w:val="32"/>
          <w:szCs w:val="32"/>
        </w:rPr>
        <w:t>具有良好的银行资信和商业信誉，无被责令停产、财产被接受、冻结及破产状态；未被列入失信被执行人名单、重大税收违法案件当事人名单、严重违法失信行为记录名单，信用信息查询渠道：“信用中国”（www.creditchina.gov.cn）；</w:t>
      </w:r>
    </w:p>
    <w:p>
      <w:pPr>
        <w:numPr>
          <w:ilvl w:val="0"/>
          <w:numId w:val="0"/>
        </w:numPr>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单位负责人为同一人或者存在控股、管理关系的不同单位，不得参加同一标包的项目投标；</w:t>
      </w:r>
    </w:p>
    <w:p>
      <w:pPr>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具备产业互联网专业资质：ISO国际质量认证体系、信息系统集成一级、电子智能化一级、涉密信息系统集成甲级、安防工程一级、软件企业CMMI5认证等。</w:t>
      </w:r>
    </w:p>
    <w:p>
      <w:pPr>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具备较好的系统集成能力、系统服务能力、研发创新能力，可提供关键性技术支撑。</w:t>
      </w:r>
    </w:p>
    <w:p>
      <w:pPr>
        <w:ind w:firstLine="640" w:firstLineChars="200"/>
        <w:jc w:val="left"/>
        <w:rPr>
          <w:rFonts w:hint="eastAsia" w:ascii="仿宋" w:hAnsi="仿宋" w:eastAsia="仿宋"/>
          <w:sz w:val="32"/>
          <w:szCs w:val="32"/>
          <w:lang w:eastAsia="zh-CN"/>
        </w:rPr>
      </w:pPr>
      <w:r>
        <w:rPr>
          <w:rFonts w:hint="eastAsia" w:ascii="仿宋" w:hAnsi="仿宋" w:eastAsia="仿宋"/>
          <w:sz w:val="32"/>
          <w:szCs w:val="32"/>
          <w:lang w:val="en-US" w:eastAsia="zh-CN"/>
        </w:rPr>
        <w:t>8.</w:t>
      </w:r>
      <w:r>
        <w:rPr>
          <w:rFonts w:hint="eastAsia" w:ascii="仿宋" w:hAnsi="仿宋" w:eastAsia="仿宋"/>
          <w:sz w:val="32"/>
          <w:szCs w:val="32"/>
        </w:rPr>
        <w:t>具备接入济宁市能源局安全专线平台对接及调测的能力，确保实现系统对接。</w:t>
      </w:r>
    </w:p>
    <w:p>
      <w:pPr>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需提供制造厂家授权及三年售后服务函并盖公章。</w:t>
      </w: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10.本项目不接受联合体报价；</w:t>
      </w:r>
    </w:p>
    <w:p>
      <w:pPr>
        <w:ind w:firstLine="640" w:firstLineChars="200"/>
        <w:jc w:val="left"/>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lang w:val="en-US" w:eastAsia="zh-CN"/>
        </w:rPr>
        <w:t>四、</w:t>
      </w:r>
      <w:r>
        <w:rPr>
          <w:rFonts w:hint="eastAsia" w:ascii="方正黑体简体" w:hAnsi="方正黑体简体" w:eastAsia="方正黑体简体" w:cs="方正黑体简体"/>
          <w:b/>
          <w:bCs/>
          <w:sz w:val="32"/>
          <w:szCs w:val="32"/>
        </w:rPr>
        <w:t>安装和售后服务要求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w:t>
      </w:r>
      <w:r>
        <w:rPr>
          <w:rFonts w:hint="eastAsia" w:ascii="仿宋" w:hAnsi="仿宋" w:eastAsia="仿宋"/>
          <w:sz w:val="32"/>
          <w:szCs w:val="32"/>
        </w:rPr>
        <w:t>中标方负责安装及调试。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w:t>
      </w:r>
      <w:r>
        <w:rPr>
          <w:rFonts w:hint="eastAsia" w:ascii="仿宋" w:hAnsi="仿宋" w:eastAsia="仿宋"/>
          <w:sz w:val="32"/>
          <w:szCs w:val="32"/>
        </w:rPr>
        <w:t>在本次项目包含的建设内容，验收合格后质保期3年。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val="en-US" w:eastAsia="zh-CN"/>
        </w:rPr>
        <w:t>.</w:t>
      </w:r>
      <w:r>
        <w:rPr>
          <w:rFonts w:hint="eastAsia" w:ascii="仿宋" w:hAnsi="仿宋" w:eastAsia="仿宋"/>
          <w:sz w:val="32"/>
          <w:szCs w:val="32"/>
        </w:rPr>
        <w:t>中标方在施工结束测试之前必须准备好，施工日志、接线图、原理图等资料。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4</w:t>
      </w:r>
      <w:r>
        <w:rPr>
          <w:rFonts w:hint="eastAsia" w:ascii="仿宋" w:hAnsi="仿宋" w:eastAsia="仿宋"/>
          <w:sz w:val="32"/>
          <w:szCs w:val="32"/>
          <w:lang w:val="en-US" w:eastAsia="zh-CN"/>
        </w:rPr>
        <w:t>.</w:t>
      </w:r>
      <w:r>
        <w:rPr>
          <w:rFonts w:hint="eastAsia" w:ascii="仿宋" w:hAnsi="仿宋" w:eastAsia="仿宋"/>
          <w:sz w:val="32"/>
          <w:szCs w:val="32"/>
        </w:rPr>
        <w:t>投标方应根据招标方的需求，对系统提供全面、有效、及时的技术支持和售后服务方案。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5</w:t>
      </w:r>
      <w:r>
        <w:rPr>
          <w:rFonts w:hint="eastAsia" w:ascii="仿宋" w:hAnsi="仿宋" w:eastAsia="仿宋"/>
          <w:sz w:val="32"/>
          <w:szCs w:val="32"/>
          <w:lang w:val="en-US" w:eastAsia="zh-CN"/>
        </w:rPr>
        <w:t>.</w:t>
      </w:r>
      <w:r>
        <w:rPr>
          <w:rFonts w:hint="eastAsia" w:ascii="仿宋" w:hAnsi="仿宋" w:eastAsia="仿宋"/>
          <w:sz w:val="32"/>
          <w:szCs w:val="32"/>
        </w:rPr>
        <w:t>平台软件、应用系统的安装、调试、升级等。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6</w:t>
      </w:r>
      <w:r>
        <w:rPr>
          <w:rFonts w:hint="eastAsia" w:ascii="仿宋" w:hAnsi="仿宋" w:eastAsia="仿宋"/>
          <w:sz w:val="32"/>
          <w:szCs w:val="32"/>
          <w:lang w:val="en-US" w:eastAsia="zh-CN"/>
        </w:rPr>
        <w:t>.</w:t>
      </w:r>
      <w:r>
        <w:rPr>
          <w:rFonts w:hint="eastAsia" w:ascii="仿宋" w:hAnsi="仿宋" w:eastAsia="仿宋"/>
          <w:sz w:val="32"/>
          <w:szCs w:val="32"/>
        </w:rPr>
        <w:t>在试运行期间，投标方应指定有经验的技术人员在现场负责系统的运行和维护，若系统出现问题或故障，应免费进行故障处理和软件更新。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7</w:t>
      </w:r>
      <w:r>
        <w:rPr>
          <w:rFonts w:hint="eastAsia" w:ascii="仿宋" w:hAnsi="仿宋" w:eastAsia="仿宋"/>
          <w:sz w:val="32"/>
          <w:szCs w:val="32"/>
          <w:lang w:val="en-US" w:eastAsia="zh-CN"/>
        </w:rPr>
        <w:t>.</w:t>
      </w:r>
      <w:r>
        <w:rPr>
          <w:rFonts w:hint="eastAsia" w:ascii="仿宋" w:hAnsi="仿宋" w:eastAsia="仿宋"/>
          <w:sz w:val="32"/>
          <w:szCs w:val="32"/>
        </w:rPr>
        <w:t>在本项目的质量保证期内投标方对质量保证期应提供现场维护服务。在本项目免费运维期内，应供全天24小时的服务响应，保证用户可以随时找到相应的技术人员，如用户认为必要，投标方技术人员要在24小时之内赶到现场予以技术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8</w:t>
      </w:r>
      <w:r>
        <w:rPr>
          <w:rFonts w:hint="eastAsia" w:ascii="仿宋" w:hAnsi="仿宋" w:eastAsia="仿宋"/>
          <w:sz w:val="32"/>
          <w:szCs w:val="32"/>
          <w:lang w:val="en-US" w:eastAsia="zh-CN"/>
        </w:rPr>
        <w:t>.</w:t>
      </w:r>
      <w:r>
        <w:rPr>
          <w:rFonts w:hint="eastAsia" w:ascii="仿宋" w:hAnsi="仿宋" w:eastAsia="仿宋"/>
          <w:sz w:val="32"/>
          <w:szCs w:val="32"/>
        </w:rPr>
        <w:t>投标方应提供应急人员和技术支持人员的名单和联系方式。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9</w:t>
      </w:r>
      <w:r>
        <w:rPr>
          <w:rFonts w:hint="eastAsia" w:ascii="仿宋" w:hAnsi="仿宋" w:eastAsia="仿宋"/>
          <w:sz w:val="32"/>
          <w:szCs w:val="32"/>
          <w:lang w:val="en-US" w:eastAsia="zh-CN"/>
        </w:rPr>
        <w:t>.</w:t>
      </w:r>
      <w:r>
        <w:rPr>
          <w:rFonts w:hint="eastAsia" w:ascii="仿宋" w:hAnsi="仿宋" w:eastAsia="仿宋"/>
          <w:sz w:val="32"/>
          <w:szCs w:val="32"/>
        </w:rPr>
        <w:t>若关于应用系统的要求和需求发生非实质性需求变更时，在项目服务期结束之前投标方应免费对系统进行相应的修改；在服务期之后，投标方应以优惠价格对系统进行修改。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b/>
          <w:bCs/>
          <w:sz w:val="32"/>
          <w:szCs w:val="32"/>
        </w:rPr>
      </w:pPr>
      <w:r>
        <w:rPr>
          <w:rFonts w:hint="eastAsia" w:ascii="仿宋" w:hAnsi="仿宋" w:eastAsia="仿宋"/>
          <w:sz w:val="32"/>
          <w:szCs w:val="32"/>
        </w:rPr>
        <w:t>10</w:t>
      </w:r>
      <w:r>
        <w:rPr>
          <w:rFonts w:hint="eastAsia" w:ascii="仿宋" w:hAnsi="仿宋" w:eastAsia="仿宋"/>
          <w:sz w:val="32"/>
          <w:szCs w:val="32"/>
          <w:lang w:val="en-US" w:eastAsia="zh-CN"/>
        </w:rPr>
        <w:t>.</w:t>
      </w:r>
      <w:r>
        <w:rPr>
          <w:rFonts w:hint="eastAsia" w:ascii="仿宋" w:hAnsi="仿宋" w:eastAsia="仿宋"/>
          <w:sz w:val="32"/>
          <w:szCs w:val="32"/>
        </w:rPr>
        <w:t>中标方要对矿方人员进行不低于</w:t>
      </w:r>
      <w:r>
        <w:rPr>
          <w:rFonts w:hint="eastAsia" w:ascii="仿宋" w:hAnsi="仿宋" w:eastAsia="仿宋"/>
          <w:sz w:val="32"/>
          <w:szCs w:val="32"/>
          <w:lang w:val="en-US" w:eastAsia="zh-CN"/>
        </w:rPr>
        <w:t>5</w:t>
      </w:r>
      <w:r>
        <w:rPr>
          <w:rFonts w:hint="eastAsia" w:ascii="仿宋" w:hAnsi="仿宋" w:eastAsia="仿宋"/>
          <w:sz w:val="32"/>
          <w:szCs w:val="32"/>
        </w:rPr>
        <w:t>课时的系统性业务培训，使其能够独立完成常用业务的基础操作和故障排查诊断。</w:t>
      </w:r>
    </w:p>
    <w:p>
      <w:pPr>
        <w:ind w:firstLine="640" w:firstLineChars="200"/>
        <w:jc w:val="left"/>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五、建设清单</w:t>
      </w:r>
    </w:p>
    <w:tbl>
      <w:tblPr>
        <w:tblStyle w:val="16"/>
        <w:tblW w:w="10454"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281"/>
        <w:gridCol w:w="2263"/>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noWrap/>
            <w:vAlign w:val="center"/>
          </w:tcPr>
          <w:p>
            <w:pPr>
              <w:jc w:val="center"/>
              <w:rPr>
                <w:rFonts w:ascii="仿宋" w:hAnsi="仿宋" w:eastAsia="仿宋"/>
                <w:b/>
                <w:bCs/>
                <w:sz w:val="28"/>
                <w:szCs w:val="28"/>
              </w:rPr>
            </w:pPr>
            <w:r>
              <w:rPr>
                <w:rFonts w:hint="eastAsia" w:ascii="仿宋" w:hAnsi="仿宋" w:eastAsia="仿宋"/>
                <w:b/>
                <w:bCs/>
                <w:sz w:val="28"/>
                <w:szCs w:val="28"/>
              </w:rPr>
              <w:t>序号</w:t>
            </w:r>
          </w:p>
        </w:tc>
        <w:tc>
          <w:tcPr>
            <w:tcW w:w="5281" w:type="dxa"/>
            <w:noWrap/>
            <w:vAlign w:val="center"/>
          </w:tcPr>
          <w:p>
            <w:pPr>
              <w:jc w:val="center"/>
              <w:rPr>
                <w:rFonts w:ascii="仿宋" w:hAnsi="仿宋" w:eastAsia="仿宋"/>
                <w:b/>
                <w:bCs/>
                <w:sz w:val="28"/>
                <w:szCs w:val="28"/>
              </w:rPr>
            </w:pPr>
            <w:r>
              <w:rPr>
                <w:rFonts w:hint="eastAsia" w:ascii="仿宋" w:hAnsi="仿宋" w:eastAsia="仿宋"/>
                <w:b/>
                <w:bCs/>
                <w:sz w:val="28"/>
                <w:szCs w:val="28"/>
              </w:rPr>
              <w:t>项目名称</w:t>
            </w:r>
          </w:p>
        </w:tc>
        <w:tc>
          <w:tcPr>
            <w:tcW w:w="2263" w:type="dxa"/>
            <w:noWrap/>
            <w:vAlign w:val="center"/>
          </w:tcPr>
          <w:p>
            <w:pPr>
              <w:jc w:val="center"/>
              <w:rPr>
                <w:rFonts w:ascii="仿宋" w:hAnsi="仿宋" w:eastAsia="仿宋"/>
                <w:b/>
                <w:bCs/>
                <w:sz w:val="28"/>
                <w:szCs w:val="28"/>
              </w:rPr>
            </w:pPr>
            <w:r>
              <w:rPr>
                <w:rFonts w:hint="eastAsia" w:ascii="仿宋" w:hAnsi="仿宋" w:eastAsia="仿宋"/>
                <w:b/>
                <w:bCs/>
                <w:sz w:val="28"/>
                <w:szCs w:val="28"/>
              </w:rPr>
              <w:t>数量</w:t>
            </w:r>
          </w:p>
        </w:tc>
        <w:tc>
          <w:tcPr>
            <w:tcW w:w="2059" w:type="dxa"/>
            <w:noWrap/>
            <w:vAlign w:val="center"/>
          </w:tcPr>
          <w:p>
            <w:pPr>
              <w:jc w:val="center"/>
              <w:rPr>
                <w:rFonts w:ascii="仿宋" w:hAnsi="仿宋" w:eastAsia="仿宋"/>
                <w:b/>
                <w:bCs/>
                <w:sz w:val="28"/>
                <w:szCs w:val="28"/>
              </w:rPr>
            </w:pPr>
            <w:r>
              <w:rPr>
                <w:rFonts w:hint="eastAsia" w:ascii="仿宋" w:hAnsi="仿宋" w:eastAsia="仿宋"/>
                <w:b/>
                <w:bCs/>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noWrap/>
            <w:vAlign w:val="center"/>
          </w:tcPr>
          <w:p>
            <w:pPr>
              <w:jc w:val="center"/>
              <w:rPr>
                <w:rFonts w:ascii="仿宋" w:hAnsi="仿宋" w:eastAsia="仿宋"/>
                <w:sz w:val="28"/>
                <w:szCs w:val="28"/>
              </w:rPr>
            </w:pPr>
            <w:r>
              <w:rPr>
                <w:rFonts w:hint="eastAsia" w:ascii="仿宋" w:hAnsi="仿宋" w:eastAsia="仿宋"/>
                <w:sz w:val="28"/>
                <w:szCs w:val="28"/>
              </w:rPr>
              <w:t>1</w:t>
            </w:r>
          </w:p>
        </w:tc>
        <w:tc>
          <w:tcPr>
            <w:tcW w:w="5281" w:type="dxa"/>
            <w:noWrap/>
            <w:vAlign w:val="center"/>
          </w:tcPr>
          <w:p>
            <w:pPr>
              <w:jc w:val="center"/>
              <w:rPr>
                <w:rFonts w:ascii="仿宋" w:hAnsi="仿宋" w:eastAsia="仿宋"/>
                <w:sz w:val="28"/>
                <w:szCs w:val="28"/>
              </w:rPr>
            </w:pPr>
            <w:r>
              <w:rPr>
                <w:rFonts w:hint="eastAsia" w:ascii="仿宋" w:hAnsi="仿宋" w:eastAsia="仿宋"/>
                <w:sz w:val="28"/>
                <w:szCs w:val="28"/>
              </w:rPr>
              <w:t>平台软硬件建设</w:t>
            </w:r>
          </w:p>
        </w:tc>
        <w:tc>
          <w:tcPr>
            <w:tcW w:w="2263" w:type="dxa"/>
            <w:noWrap/>
            <w:vAlign w:val="center"/>
          </w:tcPr>
          <w:p>
            <w:pPr>
              <w:jc w:val="center"/>
              <w:rPr>
                <w:rFonts w:ascii="仿宋" w:hAnsi="仿宋" w:eastAsia="仿宋"/>
                <w:sz w:val="28"/>
                <w:szCs w:val="28"/>
              </w:rPr>
            </w:pPr>
            <w:r>
              <w:rPr>
                <w:rFonts w:hint="eastAsia" w:ascii="仿宋" w:hAnsi="仿宋" w:eastAsia="仿宋"/>
                <w:sz w:val="28"/>
                <w:szCs w:val="28"/>
              </w:rPr>
              <w:t>1</w:t>
            </w:r>
          </w:p>
        </w:tc>
        <w:tc>
          <w:tcPr>
            <w:tcW w:w="2059" w:type="dxa"/>
            <w:noWrap/>
            <w:vAlign w:val="center"/>
          </w:tcPr>
          <w:p>
            <w:pPr>
              <w:jc w:val="center"/>
              <w:rPr>
                <w:rFonts w:ascii="仿宋" w:hAnsi="仿宋" w:eastAsia="仿宋"/>
                <w:sz w:val="28"/>
                <w:szCs w:val="28"/>
              </w:rPr>
            </w:pPr>
            <w:r>
              <w:rPr>
                <w:rFonts w:hint="eastAsia" w:ascii="仿宋" w:hAnsi="仿宋" w:eastAsia="仿宋"/>
                <w:sz w:val="28"/>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noWrap/>
            <w:vAlign w:val="center"/>
          </w:tcPr>
          <w:p>
            <w:pPr>
              <w:jc w:val="center"/>
              <w:rPr>
                <w:rFonts w:ascii="仿宋" w:hAnsi="仿宋" w:eastAsia="仿宋"/>
                <w:sz w:val="28"/>
                <w:szCs w:val="28"/>
              </w:rPr>
            </w:pPr>
            <w:r>
              <w:rPr>
                <w:rFonts w:hint="eastAsia" w:ascii="仿宋" w:hAnsi="仿宋" w:eastAsia="仿宋"/>
                <w:sz w:val="28"/>
                <w:szCs w:val="28"/>
              </w:rPr>
              <w:t>2</w:t>
            </w:r>
          </w:p>
        </w:tc>
        <w:tc>
          <w:tcPr>
            <w:tcW w:w="5281" w:type="dxa"/>
            <w:noWrap/>
            <w:vAlign w:val="center"/>
          </w:tcPr>
          <w:p>
            <w:pPr>
              <w:jc w:val="center"/>
              <w:rPr>
                <w:rFonts w:ascii="仿宋" w:hAnsi="仿宋" w:eastAsia="仿宋"/>
                <w:sz w:val="28"/>
                <w:szCs w:val="28"/>
              </w:rPr>
            </w:pPr>
            <w:r>
              <w:rPr>
                <w:rFonts w:hint="eastAsia" w:ascii="仿宋" w:hAnsi="仿宋" w:eastAsia="仿宋"/>
                <w:sz w:val="28"/>
                <w:szCs w:val="28"/>
              </w:rPr>
              <w:t>网络安全</w:t>
            </w:r>
          </w:p>
        </w:tc>
        <w:tc>
          <w:tcPr>
            <w:tcW w:w="2263" w:type="dxa"/>
            <w:noWrap/>
            <w:vAlign w:val="center"/>
          </w:tcPr>
          <w:p>
            <w:pPr>
              <w:jc w:val="center"/>
              <w:rPr>
                <w:rFonts w:ascii="仿宋" w:hAnsi="仿宋" w:eastAsia="仿宋"/>
                <w:sz w:val="28"/>
                <w:szCs w:val="28"/>
              </w:rPr>
            </w:pPr>
            <w:r>
              <w:rPr>
                <w:rFonts w:hint="eastAsia" w:ascii="仿宋" w:hAnsi="仿宋" w:eastAsia="仿宋"/>
                <w:sz w:val="28"/>
                <w:szCs w:val="28"/>
              </w:rPr>
              <w:t>1</w:t>
            </w:r>
          </w:p>
        </w:tc>
        <w:tc>
          <w:tcPr>
            <w:tcW w:w="2059" w:type="dxa"/>
            <w:noWrap/>
            <w:vAlign w:val="center"/>
          </w:tcPr>
          <w:p>
            <w:pPr>
              <w:jc w:val="center"/>
              <w:rPr>
                <w:rFonts w:ascii="仿宋" w:hAnsi="仿宋" w:eastAsia="仿宋"/>
                <w:sz w:val="28"/>
                <w:szCs w:val="28"/>
              </w:rPr>
            </w:pPr>
            <w:r>
              <w:rPr>
                <w:rFonts w:hint="eastAsia" w:ascii="仿宋" w:hAnsi="仿宋" w:eastAsia="仿宋"/>
                <w:sz w:val="28"/>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noWrap/>
            <w:vAlign w:val="center"/>
          </w:tcPr>
          <w:p>
            <w:pPr>
              <w:jc w:val="center"/>
              <w:rPr>
                <w:rFonts w:ascii="仿宋" w:hAnsi="仿宋" w:eastAsia="仿宋"/>
                <w:sz w:val="28"/>
                <w:szCs w:val="28"/>
              </w:rPr>
            </w:pPr>
            <w:r>
              <w:rPr>
                <w:rFonts w:hint="eastAsia" w:ascii="仿宋" w:hAnsi="仿宋" w:eastAsia="仿宋"/>
                <w:sz w:val="28"/>
                <w:szCs w:val="28"/>
              </w:rPr>
              <w:t>3</w:t>
            </w:r>
          </w:p>
        </w:tc>
        <w:tc>
          <w:tcPr>
            <w:tcW w:w="5281" w:type="dxa"/>
            <w:vAlign w:val="center"/>
          </w:tcPr>
          <w:p>
            <w:pPr>
              <w:jc w:val="center"/>
              <w:rPr>
                <w:rFonts w:ascii="仿宋" w:hAnsi="仿宋" w:eastAsia="仿宋"/>
                <w:sz w:val="28"/>
                <w:szCs w:val="28"/>
              </w:rPr>
            </w:pPr>
            <w:r>
              <w:rPr>
                <w:rFonts w:hint="eastAsia" w:ascii="仿宋" w:hAnsi="仿宋" w:eastAsia="仿宋"/>
                <w:sz w:val="28"/>
                <w:szCs w:val="28"/>
              </w:rPr>
              <w:t>领导指挥屏</w:t>
            </w:r>
          </w:p>
          <w:p>
            <w:pPr>
              <w:jc w:val="center"/>
              <w:rPr>
                <w:rFonts w:ascii="仿宋" w:hAnsi="仿宋" w:eastAsia="仿宋"/>
                <w:sz w:val="28"/>
                <w:szCs w:val="28"/>
              </w:rPr>
            </w:pPr>
            <w:r>
              <w:rPr>
                <w:rFonts w:hint="eastAsia" w:ascii="仿宋" w:hAnsi="仿宋" w:eastAsia="仿宋"/>
                <w:sz w:val="28"/>
                <w:szCs w:val="28"/>
              </w:rPr>
              <w:t>（分布式大小屏应急指挥控制系统）</w:t>
            </w:r>
          </w:p>
          <w:p>
            <w:pPr>
              <w:jc w:val="center"/>
              <w:rPr>
                <w:rFonts w:ascii="仿宋" w:hAnsi="仿宋" w:eastAsia="仿宋"/>
                <w:sz w:val="28"/>
                <w:szCs w:val="28"/>
              </w:rPr>
            </w:pPr>
            <w:r>
              <w:rPr>
                <w:rFonts w:hint="eastAsia" w:ascii="仿宋" w:hAnsi="仿宋" w:eastAsia="仿宋"/>
                <w:sz w:val="24"/>
                <w:szCs w:val="24"/>
              </w:rPr>
              <w:t>（目前按照10个信号源预估，具体根据矿上实际信号源而定）</w:t>
            </w:r>
          </w:p>
        </w:tc>
        <w:tc>
          <w:tcPr>
            <w:tcW w:w="2263" w:type="dxa"/>
            <w:noWrap/>
            <w:vAlign w:val="center"/>
          </w:tcPr>
          <w:p>
            <w:pPr>
              <w:jc w:val="center"/>
              <w:rPr>
                <w:rFonts w:ascii="仿宋" w:hAnsi="仿宋" w:eastAsia="仿宋"/>
                <w:sz w:val="28"/>
                <w:szCs w:val="28"/>
              </w:rPr>
            </w:pPr>
            <w:r>
              <w:rPr>
                <w:rFonts w:hint="eastAsia" w:ascii="仿宋" w:hAnsi="仿宋" w:eastAsia="仿宋"/>
                <w:sz w:val="28"/>
                <w:szCs w:val="28"/>
              </w:rPr>
              <w:t>1</w:t>
            </w:r>
          </w:p>
        </w:tc>
        <w:tc>
          <w:tcPr>
            <w:tcW w:w="2059" w:type="dxa"/>
            <w:noWrap/>
            <w:vAlign w:val="center"/>
          </w:tcPr>
          <w:p>
            <w:pPr>
              <w:jc w:val="center"/>
              <w:rPr>
                <w:rFonts w:ascii="仿宋" w:hAnsi="仿宋" w:eastAsia="仿宋"/>
                <w:sz w:val="28"/>
                <w:szCs w:val="28"/>
              </w:rPr>
            </w:pPr>
            <w:r>
              <w:rPr>
                <w:rFonts w:hint="eastAsia" w:ascii="仿宋" w:hAnsi="仿宋" w:eastAsia="仿宋"/>
                <w:sz w:val="28"/>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1" w:type="dxa"/>
            <w:noWrap/>
            <w:vAlign w:val="center"/>
          </w:tcPr>
          <w:p>
            <w:pPr>
              <w:jc w:val="center"/>
              <w:rPr>
                <w:rFonts w:ascii="仿宋" w:hAnsi="仿宋" w:eastAsia="仿宋"/>
                <w:sz w:val="28"/>
                <w:szCs w:val="28"/>
              </w:rPr>
            </w:pPr>
            <w:r>
              <w:rPr>
                <w:rFonts w:hint="eastAsia" w:ascii="仿宋" w:hAnsi="仿宋" w:eastAsia="仿宋"/>
                <w:sz w:val="28"/>
                <w:szCs w:val="28"/>
              </w:rPr>
              <w:t>4</w:t>
            </w:r>
          </w:p>
        </w:tc>
        <w:tc>
          <w:tcPr>
            <w:tcW w:w="5281" w:type="dxa"/>
            <w:vAlign w:val="center"/>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至能源局视频传输网的V</w:t>
            </w:r>
            <w:r>
              <w:rPr>
                <w:rFonts w:ascii="仿宋" w:hAnsi="仿宋" w:eastAsia="仿宋"/>
                <w:color w:val="000000" w:themeColor="text1"/>
                <w:sz w:val="28"/>
                <w:szCs w:val="28"/>
                <w14:textFill>
                  <w14:solidFill>
                    <w14:schemeClr w14:val="tx1"/>
                  </w14:solidFill>
                </w14:textFill>
              </w:rPr>
              <w:t>PN</w:t>
            </w:r>
            <w:r>
              <w:rPr>
                <w:rFonts w:hint="eastAsia" w:ascii="仿宋" w:hAnsi="仿宋" w:eastAsia="仿宋"/>
                <w:color w:val="000000" w:themeColor="text1"/>
                <w:sz w:val="28"/>
                <w:szCs w:val="28"/>
                <w14:textFill>
                  <w14:solidFill>
                    <w14:schemeClr w14:val="tx1"/>
                  </w14:solidFill>
                </w14:textFill>
              </w:rPr>
              <w:t>专线</w:t>
            </w:r>
          </w:p>
        </w:tc>
        <w:tc>
          <w:tcPr>
            <w:tcW w:w="4322" w:type="dxa"/>
            <w:gridSpan w:val="2"/>
            <w:noWrap/>
            <w:vAlign w:val="center"/>
          </w:tcPr>
          <w:p>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已有可不考虑该项费用</w:t>
            </w:r>
          </w:p>
        </w:tc>
      </w:tr>
    </w:tbl>
    <w:p>
      <w:pPr>
        <w:widowControl/>
        <w:jc w:val="left"/>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p>
      <w:pPr>
        <w:rPr>
          <w:rFonts w:ascii="仿宋" w:hAnsi="仿宋" w:eastAsia="仿宋"/>
          <w:b/>
          <w:bCs/>
          <w:sz w:val="28"/>
          <w:szCs w:val="28"/>
        </w:rPr>
      </w:pPr>
      <w:r>
        <w:rPr>
          <w:rFonts w:hint="eastAsia" w:ascii="仿宋" w:hAnsi="仿宋" w:eastAsia="仿宋"/>
          <w:b/>
          <w:bCs/>
          <w:sz w:val="28"/>
          <w:szCs w:val="28"/>
        </w:rPr>
        <w:t>1、平台软硬件建设清单:</w:t>
      </w:r>
    </w:p>
    <w:tbl>
      <w:tblPr>
        <w:tblStyle w:val="15"/>
        <w:tblW w:w="15020" w:type="dxa"/>
        <w:tblInd w:w="0" w:type="dxa"/>
        <w:tblLayout w:type="autofit"/>
        <w:tblCellMar>
          <w:top w:w="0" w:type="dxa"/>
          <w:left w:w="108" w:type="dxa"/>
          <w:bottom w:w="0" w:type="dxa"/>
          <w:right w:w="108" w:type="dxa"/>
        </w:tblCellMar>
      </w:tblPr>
      <w:tblGrid>
        <w:gridCol w:w="537"/>
        <w:gridCol w:w="1008"/>
        <w:gridCol w:w="8843"/>
        <w:gridCol w:w="1216"/>
        <w:gridCol w:w="537"/>
        <w:gridCol w:w="537"/>
        <w:gridCol w:w="635"/>
        <w:gridCol w:w="675"/>
        <w:gridCol w:w="1032"/>
      </w:tblGrid>
      <w:tr>
        <w:tblPrEx>
          <w:tblCellMar>
            <w:top w:w="0" w:type="dxa"/>
            <w:left w:w="108" w:type="dxa"/>
            <w:bottom w:w="0" w:type="dxa"/>
            <w:right w:w="108" w:type="dxa"/>
          </w:tblCellMar>
        </w:tblPrEx>
        <w:trPr>
          <w:trHeight w:val="533" w:hRule="atLeast"/>
        </w:trPr>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10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产品</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名称</w:t>
            </w:r>
          </w:p>
        </w:tc>
        <w:tc>
          <w:tcPr>
            <w:tcW w:w="884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内容描述</w:t>
            </w:r>
          </w:p>
        </w:tc>
        <w:tc>
          <w:tcPr>
            <w:tcW w:w="121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参考</w:t>
            </w:r>
            <w:r>
              <w:rPr>
                <w:rFonts w:hint="eastAsia" w:ascii="宋体" w:hAnsi="宋体" w:eastAsia="宋体" w:cs="宋体"/>
                <w:b/>
                <w:bCs/>
                <w:color w:val="000000"/>
                <w:kern w:val="0"/>
                <w:sz w:val="20"/>
                <w:szCs w:val="20"/>
              </w:rPr>
              <w:t>品牌</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单位</w:t>
            </w:r>
          </w:p>
        </w:tc>
        <w:tc>
          <w:tcPr>
            <w:tcW w:w="63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单价</w:t>
            </w:r>
          </w:p>
        </w:tc>
        <w:tc>
          <w:tcPr>
            <w:tcW w:w="67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w:t>
            </w:r>
          </w:p>
        </w:tc>
        <w:tc>
          <w:tcPr>
            <w:tcW w:w="1032"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备注</w:t>
            </w:r>
          </w:p>
        </w:tc>
      </w:tr>
      <w:tr>
        <w:tblPrEx>
          <w:tblCellMar>
            <w:top w:w="0" w:type="dxa"/>
            <w:left w:w="108" w:type="dxa"/>
            <w:bottom w:w="0" w:type="dxa"/>
            <w:right w:w="108" w:type="dxa"/>
          </w:tblCellMar>
        </w:tblPrEx>
        <w:trPr>
          <w:trHeight w:val="421" w:hRule="atLeast"/>
        </w:trPr>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音视频智能通讯指挥调度平台及维护费用</w:t>
            </w:r>
          </w:p>
        </w:tc>
        <w:tc>
          <w:tcPr>
            <w:tcW w:w="884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一、设备接入容量：1）对接GB28181国标监控平台，实现最多100路监控点位（含符合国标的执法记录仪、车载监控）的接入；2）通过电话网关，实现最多10个电话号码的接入；3）通过标准H.323协议，实现最多2路视频会议终端的接入；4）通过数字集群模块（需另配），实现最多100个数字集群终端的接入；5）通过融合通信APP（根据能源局平台功能是否开通），实现最多4个移动终端的接入；6）内置基础版地图引擎；7）支持6路音视频设备并发调度。二、调度功能：1）地图屏、操作屏、业务屏，一机三屏操作模式（不含硬件设备）；2）设备、通信录以分类列表形式展示，并支持搜索；3）支持调度资源的视频预览功能；4）将多路调度资源进行画面合成，投放大屏或广播到各分会场；5）将多路调度资源进行混音，并广播到各分会场；6）可对每路调度资源进行单独的静音、哑音、云镜控制等操作；7）支持三种点名方式，广播、点名人、广播被点名人、广播点名人与被点名人合成画面；8）支持设备分组展示、支持资源本地监看；支持主席轮询、通道轮询；9）从拼控设备动态读取大屏分辨率及尺寸，并向拼控设备设置大屏开窗风格。在操作屏上模拟大屏显示风格，实现所见即所得的大屏控制方式；10）支持图上框选、圈选操作，可根据选择的设备快速进行图上组会；11）支持在地图上将调度资源上图定位展示，支持设备的实时定位、历史轨迹回放。含应急处置视频智能通讯调度平台客户端终身授权费用。含平台应用操作、人员更换系统维护培训、应急情况下24小时现场技术支持、五年免费上门维护费用。本平台应用于能源局视频专网。 三、手机端APP:支持最大8路用户的即时通信系统，具有以下功能：1）通讯录功能：常用联系人、同步组织架构、人员及部门的搜索和添加；2）创建群组功能；3）支持文字、短语音、短视频、图片、拍照、文件等通信功能；4）支持多终端之间双向音视频通话功能；5）可以通过设备列表主动发起与其他类型终端（会议、监控、电话、可视化调度话机）之间的多方音视频通话；6）可以通过设备列表发起与其他类型终端（会议、监控、电话、可视化调度话机）的点对点的调度；7）终端接受指挥中心双向音视频调度。含应急处置音视频智能通讯软件手机端APP终身授权费用。手机端APP应用于互联网。</w:t>
            </w:r>
          </w:p>
        </w:tc>
        <w:tc>
          <w:tcPr>
            <w:tcW w:w="121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科达RCS-BP-L</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63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both"/>
              <w:rPr>
                <w:rFonts w:ascii="宋体" w:hAnsi="宋体" w:eastAsia="宋体" w:cs="宋体"/>
                <w:kern w:val="0"/>
                <w:sz w:val="20"/>
                <w:szCs w:val="20"/>
              </w:rPr>
            </w:pPr>
          </w:p>
        </w:tc>
        <w:tc>
          <w:tcPr>
            <w:tcW w:w="67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color w:val="000000"/>
                <w:kern w:val="0"/>
                <w:sz w:val="20"/>
                <w:szCs w:val="20"/>
              </w:rPr>
            </w:pPr>
          </w:p>
        </w:tc>
        <w:tc>
          <w:tcPr>
            <w:tcW w:w="1032"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color w:val="FF0000"/>
                <w:kern w:val="0"/>
                <w:sz w:val="20"/>
                <w:szCs w:val="20"/>
              </w:rPr>
            </w:pPr>
            <w:r>
              <w:rPr>
                <w:rFonts w:hint="eastAsia" w:ascii="宋体" w:hAnsi="宋体" w:eastAsia="宋体" w:cs="宋体"/>
                <w:color w:val="000000"/>
                <w:kern w:val="0"/>
                <w:sz w:val="20"/>
                <w:szCs w:val="20"/>
              </w:rPr>
              <w:t>实现视频监控、视频会议、可视化调度话机间的互联互通，实现一张图指挥调度；实现领导手机端随时随地调度可视化话机、查看视频监控、接入视频会议等功能。</w:t>
            </w:r>
          </w:p>
        </w:tc>
      </w:tr>
      <w:tr>
        <w:tblPrEx>
          <w:tblCellMar>
            <w:top w:w="0" w:type="dxa"/>
            <w:left w:w="108" w:type="dxa"/>
            <w:bottom w:w="0" w:type="dxa"/>
            <w:right w:w="108" w:type="dxa"/>
          </w:tblCellMar>
        </w:tblPrEx>
        <w:trPr>
          <w:trHeight w:val="421" w:hRule="atLeast"/>
        </w:trPr>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0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可视化话机调度</w:t>
            </w:r>
          </w:p>
        </w:tc>
        <w:tc>
          <w:tcPr>
            <w:tcW w:w="884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设备参数：1.显示屏：≥8英寸，触摸屏；2.分辨率：≥1280*800；3.操作系统：支持安卓操作系统，支持语音、视频通信功能；4.音频编解码：G.722、G.711A/U、G.729、iLBC、Opus；5.视频编解码：H.264、VP8；6.网络接口：2个RJ45接口、支持10/100/1000M网口自适应、VLAN、支持POE；7.接入方式：双模通信，同时支持PSTN和融合通信桌面终端APP功能；8.手柄接口：1个RJ9接口。软件参数：1.支持通讯录功能：根据部门结构加载部门联系人，以及联系人关联的调度设备资源；2.支持预案调度功能，便捷创建、编辑、快速开启视频预案；3.支持设备收藏功能；4.支持常用联系人功能，通过通讯录可以快速设置常用联系人；5.支持快速检索功能，可以根据拼音、关键字对联系人、设备名称进行快速检索；6.支持点调视频会议，电话、执法仪、移动APP、融信话机；7.支持在一对一的通话时，快速添加其他类型终端召开多方会议；8.支持在多方会议中添加其他类型终端入会；9.支持召开跨设备类型的多方会议，设备类型包含视频会议，电话、执法仪、移动APP、融信话机；10.支持召开不少于9方会议；11.支持临时呼叫不在通讯录中的固话、手机号码；12.支持常规的会控操作：静音、哑音、挂断、呼叫；13.支持呼叫保持功能，会议中有电话呼入时，支持对当前的会议进行呼叫保持，电话结束后，可以快速恢复之前的会议中；14.支持拼音输入和手动输入两种输入模式。可接入济宁市能源局应急处置视频智能通讯调度平台实现一键式统一调度功能，具备24小时在线值班调度，可利用应急处置音视频智能通讯软件APP实现手机端与可视化调度话机的直接调度。音视频调度主要用于视频上传、视频转发、双向视频连线等功能。含应急处置视频智能通讯调度平台客户端终身授权费用。含平台应用操作、人员更换系统维护培训、应急情况下24小时现场技术支持、产品三年质保及五年免费上门维护费用。本平台应用于能源局视频专网。</w:t>
            </w:r>
          </w:p>
        </w:tc>
        <w:tc>
          <w:tcPr>
            <w:tcW w:w="121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科达RCS-OP-VTS</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63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kern w:val="0"/>
                <w:sz w:val="20"/>
                <w:szCs w:val="20"/>
              </w:rPr>
            </w:pPr>
          </w:p>
        </w:tc>
        <w:tc>
          <w:tcPr>
            <w:tcW w:w="67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color w:val="000000"/>
                <w:kern w:val="0"/>
                <w:sz w:val="20"/>
                <w:szCs w:val="20"/>
              </w:rPr>
            </w:pPr>
          </w:p>
        </w:tc>
        <w:tc>
          <w:tcPr>
            <w:tcW w:w="1032"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color w:val="FF0000"/>
                <w:kern w:val="0"/>
                <w:sz w:val="20"/>
                <w:szCs w:val="20"/>
              </w:rPr>
            </w:pPr>
            <w:r>
              <w:rPr>
                <w:rFonts w:hint="eastAsia" w:ascii="宋体" w:hAnsi="宋体" w:eastAsia="宋体" w:cs="宋体"/>
                <w:color w:val="000000"/>
                <w:kern w:val="0"/>
                <w:sz w:val="20"/>
                <w:szCs w:val="20"/>
              </w:rPr>
              <w:t>实现能源局与煤矿指挥中心24小时在线值班调度</w:t>
            </w:r>
          </w:p>
        </w:tc>
      </w:tr>
      <w:tr>
        <w:tblPrEx>
          <w:tblCellMar>
            <w:top w:w="0" w:type="dxa"/>
            <w:left w:w="108" w:type="dxa"/>
            <w:bottom w:w="0" w:type="dxa"/>
            <w:right w:w="108" w:type="dxa"/>
          </w:tblCellMar>
        </w:tblPrEx>
        <w:trPr>
          <w:trHeight w:val="915" w:hRule="atLeast"/>
        </w:trPr>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0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集成费用</w:t>
            </w:r>
          </w:p>
        </w:tc>
        <w:tc>
          <w:tcPr>
            <w:tcW w:w="884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包含所需的高清视频线、电源线、接入指挥中心网络布线等辅助材料及安装调试费</w:t>
            </w:r>
          </w:p>
        </w:tc>
        <w:tc>
          <w:tcPr>
            <w:tcW w:w="121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联通</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635" w:type="dxa"/>
            <w:tcBorders>
              <w:top w:val="single" w:color="auto" w:sz="2" w:space="0"/>
              <w:left w:val="single" w:color="auto" w:sz="2" w:space="0"/>
              <w:bottom w:val="single" w:color="auto" w:sz="2" w:space="0"/>
              <w:right w:val="single" w:color="auto" w:sz="2" w:space="0"/>
            </w:tcBorders>
            <w:shd w:val="clear" w:color="000000" w:fill="FFFFFF"/>
            <w:vAlign w:val="center"/>
          </w:tcPr>
          <w:p>
            <w:pPr>
              <w:widowControl/>
              <w:jc w:val="center"/>
              <w:rPr>
                <w:rFonts w:ascii="宋体" w:hAnsi="宋体" w:eastAsia="宋体" w:cs="宋体"/>
                <w:color w:val="000000"/>
                <w:kern w:val="0"/>
                <w:sz w:val="20"/>
                <w:szCs w:val="20"/>
              </w:rPr>
            </w:pPr>
          </w:p>
        </w:tc>
        <w:tc>
          <w:tcPr>
            <w:tcW w:w="67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kern w:val="0"/>
                <w:sz w:val="20"/>
                <w:szCs w:val="20"/>
              </w:rPr>
            </w:pPr>
          </w:p>
        </w:tc>
        <w:tc>
          <w:tcPr>
            <w:tcW w:w="1032"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eastAsia="宋体" w:cs="宋体"/>
                <w:color w:val="FF0000"/>
                <w:kern w:val="0"/>
                <w:sz w:val="20"/>
                <w:szCs w:val="20"/>
              </w:rPr>
            </w:pPr>
            <w:r>
              <w:rPr>
                <w:rFonts w:hint="eastAsia" w:ascii="宋体" w:hAnsi="宋体" w:eastAsia="宋体" w:cs="宋体"/>
                <w:kern w:val="0"/>
                <w:sz w:val="20"/>
                <w:szCs w:val="20"/>
              </w:rPr>
              <w:t>根据现场情况定最终清单</w:t>
            </w:r>
          </w:p>
        </w:tc>
      </w:tr>
    </w:tbl>
    <w:p>
      <w:pPr>
        <w:rPr>
          <w:rFonts w:ascii="仿宋" w:hAnsi="仿宋" w:eastAsia="仿宋"/>
          <w:b/>
          <w:bCs/>
          <w:sz w:val="28"/>
          <w:szCs w:val="28"/>
        </w:rPr>
      </w:pPr>
    </w:p>
    <w:p>
      <w:pPr>
        <w:rPr>
          <w:rFonts w:ascii="仿宋" w:hAnsi="仿宋" w:eastAsia="仿宋"/>
          <w:b/>
          <w:bCs/>
          <w:sz w:val="28"/>
          <w:szCs w:val="28"/>
        </w:rPr>
      </w:pPr>
    </w:p>
    <w:p>
      <w:pPr>
        <w:rPr>
          <w:rFonts w:ascii="仿宋" w:hAnsi="仿宋" w:eastAsia="仿宋"/>
          <w:b/>
          <w:bCs/>
          <w:sz w:val="28"/>
          <w:szCs w:val="28"/>
        </w:rPr>
      </w:pPr>
      <w:r>
        <w:rPr>
          <w:rFonts w:hint="eastAsia" w:ascii="仿宋" w:hAnsi="仿宋" w:eastAsia="仿宋"/>
          <w:b/>
          <w:bCs/>
          <w:sz w:val="28"/>
          <w:szCs w:val="28"/>
        </w:rPr>
        <w:t>2、网络安全清单：</w:t>
      </w:r>
    </w:p>
    <w:tbl>
      <w:tblPr>
        <w:tblStyle w:val="15"/>
        <w:tblW w:w="15276" w:type="dxa"/>
        <w:tblInd w:w="0" w:type="dxa"/>
        <w:tblLayout w:type="autofit"/>
        <w:tblCellMar>
          <w:top w:w="0" w:type="dxa"/>
          <w:left w:w="108" w:type="dxa"/>
          <w:bottom w:w="0" w:type="dxa"/>
          <w:right w:w="108" w:type="dxa"/>
        </w:tblCellMar>
      </w:tblPr>
      <w:tblGrid>
        <w:gridCol w:w="527"/>
        <w:gridCol w:w="704"/>
        <w:gridCol w:w="8485"/>
        <w:gridCol w:w="1816"/>
        <w:gridCol w:w="528"/>
        <w:gridCol w:w="528"/>
        <w:gridCol w:w="689"/>
        <w:gridCol w:w="894"/>
        <w:gridCol w:w="1105"/>
      </w:tblGrid>
      <w:tr>
        <w:tblPrEx>
          <w:tblCellMar>
            <w:top w:w="0" w:type="dxa"/>
            <w:left w:w="108" w:type="dxa"/>
            <w:bottom w:w="0" w:type="dxa"/>
            <w:right w:w="108" w:type="dxa"/>
          </w:tblCellMar>
        </w:tblPrEx>
        <w:trPr>
          <w:trHeight w:val="465" w:hRule="atLeast"/>
        </w:trPr>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7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产品名称</w:t>
            </w:r>
          </w:p>
        </w:tc>
        <w:tc>
          <w:tcPr>
            <w:tcW w:w="84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内容描述</w:t>
            </w:r>
          </w:p>
        </w:tc>
        <w:tc>
          <w:tcPr>
            <w:tcW w:w="18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参考</w:t>
            </w:r>
            <w:r>
              <w:rPr>
                <w:rFonts w:hint="eastAsia" w:ascii="宋体" w:hAnsi="宋体" w:eastAsia="宋体" w:cs="宋体"/>
                <w:b/>
                <w:bCs/>
                <w:color w:val="000000"/>
                <w:kern w:val="0"/>
                <w:sz w:val="20"/>
                <w:szCs w:val="20"/>
              </w:rPr>
              <w:t>品牌</w:t>
            </w:r>
          </w:p>
        </w:tc>
        <w:tc>
          <w:tcPr>
            <w:tcW w:w="5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w:t>
            </w:r>
          </w:p>
        </w:tc>
        <w:tc>
          <w:tcPr>
            <w:tcW w:w="5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单位</w:t>
            </w:r>
          </w:p>
        </w:tc>
        <w:tc>
          <w:tcPr>
            <w:tcW w:w="6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单价</w:t>
            </w:r>
          </w:p>
        </w:tc>
        <w:tc>
          <w:tcPr>
            <w:tcW w:w="8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w:t>
            </w:r>
          </w:p>
        </w:tc>
        <w:tc>
          <w:tcPr>
            <w:tcW w:w="11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备注</w:t>
            </w:r>
          </w:p>
        </w:tc>
      </w:tr>
      <w:tr>
        <w:tblPrEx>
          <w:tblCellMar>
            <w:top w:w="0" w:type="dxa"/>
            <w:left w:w="108" w:type="dxa"/>
            <w:bottom w:w="0" w:type="dxa"/>
            <w:right w:w="108" w:type="dxa"/>
          </w:tblCellMar>
        </w:tblPrEx>
        <w:trPr>
          <w:trHeight w:val="4418" w:hRule="atLeast"/>
        </w:trPr>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7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网络交换机</w:t>
            </w:r>
          </w:p>
        </w:tc>
        <w:tc>
          <w:tcPr>
            <w:tcW w:w="84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1.交换容量≥432Gbps，包转发率≥196Mpps，若存在双参数以小参数为准，以上需提供官网截图证明和链接；2.千兆电口≥48个，万兆SFP+光口≥4个，Console口≥1个；3.支持DHCP Snooping，支持交换机端口设置为信任端口或非信任端口，非信任端口也可设置白名单响应DHCP报文；4.支持M-LAG技术，跨设备链路聚合（非堆叠技术实现），要求配对的设备有独立的控制平面，要求提供具有CMA和CNAS认证章的第三方权威机构测试报告；5.支持零配置上线，支持二层广播自动发现网管中心平台，支持配置静态IP地址三层发现网管中心平台，支持DHCP Option43方式发现网管中心平台，支持DNS域名发现网管中心平台，要求提供具有CMA和CNAS认证章的第三方权威机构测试报告；6.支持通过网管中心平台一键替换“按钮”即可完成故障设备替换；7.支持通过APP进行远程管理，并且可以修改交换机网络配置；8.支持通过在网管中心平台的Web页面对交换机进行可视化管理查看，包括交换机的端口状态及配置、vlan信息；9.支持终端类型库，基于指纹自动识别PC、路由器、摄像头设备、无线AP等；10.支持终端IP-MAC绑定，当IP+MAC不对应时，可以将终端加入黑名单实现断开终端流量，提供功能截图证明；11.支持在交换机上创建东西向安全策略，实现全网安全风险拦截，要求提供具有CMA和CNAS认证章的第三方权威机构测试报告；12.为满足网络安全建设需求，交换机需满足《信息安全技术 交换机安全技术要求 GA/T 684-2007》，符合安全交换机标准，提供与之对应的权威机构出具的检测报告。确保与市能源局专用网络设备互联互通。</w:t>
            </w:r>
          </w:p>
        </w:tc>
        <w:tc>
          <w:tcPr>
            <w:tcW w:w="18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信锐RS3300-52T-4F</w:t>
            </w:r>
          </w:p>
        </w:tc>
        <w:tc>
          <w:tcPr>
            <w:tcW w:w="5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5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11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FF0000"/>
                <w:kern w:val="0"/>
                <w:sz w:val="20"/>
                <w:szCs w:val="20"/>
              </w:rPr>
            </w:pPr>
            <w:r>
              <w:rPr>
                <w:rFonts w:hint="eastAsia" w:ascii="宋体" w:hAnsi="宋体" w:eastAsia="宋体" w:cs="宋体"/>
                <w:kern w:val="0"/>
                <w:sz w:val="20"/>
                <w:szCs w:val="20"/>
              </w:rPr>
              <w:t>实现能源专网维护分层，本交换机之前的设备归煤矿维护，本交换机之后的设备由本次中标方统一维护。</w:t>
            </w:r>
          </w:p>
        </w:tc>
      </w:tr>
      <w:tr>
        <w:tblPrEx>
          <w:tblCellMar>
            <w:top w:w="0" w:type="dxa"/>
            <w:left w:w="108" w:type="dxa"/>
            <w:bottom w:w="0" w:type="dxa"/>
            <w:right w:w="108" w:type="dxa"/>
          </w:tblCellMar>
        </w:tblPrEx>
        <w:trPr>
          <w:trHeight w:val="1408" w:hRule="atLeast"/>
        </w:trPr>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7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防火墙</w:t>
            </w:r>
          </w:p>
        </w:tc>
        <w:tc>
          <w:tcPr>
            <w:tcW w:w="84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网络处理能力6Gbps，并发连接≥200万，每秒新建连接8万/秒，1U机架式设备，单电源，板载8个10/100/1000M自适应电口、2个千兆SFP光接口和2个万兆SFP+光接口,1个Console口，支持2个扩展插槽； 包括16个SSLVPN 并发用户数（最大300）、16个IPsecVPN 并发隧道数（最大1000）；提供三年软件升级服务，7x24小时热线电话支持；支持基于策略的路由负载，支持根据应用和服务进行智能选路，支持源地址目的地址哈希、源地址哈希、轮询、时延负载、备份、随机、流量均衡、源地址轮询、目的地址哈希、最优链路带宽负载、最优链路带宽备份、跳数负载等不少于12种路由负载均衡方式，支持基于IPv4或IPv6的TCP、HTTP、DNS、ICMP等方式的链路探测，同时TCP与HTTP可使用自定义目标端口进行测试；支持MPLS流量透传；支持针对MPLS流量的安全审查；支持共享上网检测功能，支持共享接入检测和共享接入管控功能，可以通过设置管控地址和例外地址优化管控功能，同时支持阻断或告警动作；支持接收针对突发重大安全事件的“应急响应消息”，针对该消息可以选择“自动”或“手动”处理。至少在界面显示安全事件的名称、类型、当前防护状态、处置状态以及相应的操作等信息；必须支持IPv4和IPv6流量的蜜罐引流策略，支持配置基于源安全域、目的安全域、源地址、目的地址、服务、VLAN的引流策略，并支持强制导流，能够通过设置服务器和端口进行引流；支持威胁引流功能，威胁引流可以通过开关设置是否开启，通过添加蜜罐地址实现引流，同时支持添加例外域名，做到精细化引流管控；支持与态势感知、终端管理软件联动，实现基于终端健康状态的访问控制，并支持阻断终端网络活动的同时，提示被阻断原因及重定向至自定义网址；支持将告警信息以SNMP Trap、邮件、声音、短信等形式通知管理员，告警信息的范围至少包括配置变更、病毒事件、攻击事件、异常事件、失陷主机告警、并发数告警、CPU利用率、内存利用率、硬盘利用率、接口带宽利用率、NAT端口池利用率等；提供三年原厂维保升级服务；7x24小时热线电话支持。确保与市能源局专用网络设备互联互通。</w:t>
            </w:r>
          </w:p>
        </w:tc>
        <w:tc>
          <w:tcPr>
            <w:tcW w:w="18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奇安信NSG3500-TE40P-QW</w:t>
            </w:r>
          </w:p>
        </w:tc>
        <w:tc>
          <w:tcPr>
            <w:tcW w:w="5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5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8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p>
        </w:tc>
        <w:tc>
          <w:tcPr>
            <w:tcW w:w="8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11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网络安全防护基础设备</w:t>
            </w:r>
          </w:p>
        </w:tc>
      </w:tr>
      <w:tr>
        <w:tblPrEx>
          <w:tblCellMar>
            <w:top w:w="0" w:type="dxa"/>
            <w:left w:w="108" w:type="dxa"/>
            <w:bottom w:w="0" w:type="dxa"/>
            <w:right w:w="108" w:type="dxa"/>
          </w:tblCellMar>
        </w:tblPrEx>
        <w:trPr>
          <w:trHeight w:val="40" w:hRule="atLeast"/>
        </w:trPr>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7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网闸</w:t>
            </w:r>
          </w:p>
        </w:tc>
        <w:tc>
          <w:tcPr>
            <w:tcW w:w="84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硬件配置：内网接口：6个10/100/1000Base-T端口，1个Console口，2个USB口； 外网接口：6个10/100/1000Base-T端口，1个Console口，2个USB口；功能模块：数据库同步、文件交换、数据库访问、邮件访问、安全浏览、安全FTP、定制模块、工控访问等；支持带内管理，可通过业务口进行网闸管理工作；用户可自行选择是否启用带内管理功能；提供内嵌模式数据库同步功能，同步由网闸主动发起并完成，不需要第三方软件支持；支持多种同步模式：完全一致、完全复制、首次复制+新增、源端移动、源端删除等多种模式； 设备支持双机热备及多机热备，支持设备优先级设置和自动抢占功能；支持ping、connect主动链路探测技术，发现异常实现主备切换；支持双机配置同步功能，可将主闸配置主动同步到备闸，方便配置管理；文件交换模块支持病毒检测功能，支持通过文件大小控制病毒查杀；支持双引擎病毒查杀模块，可根据用户需求选择需要的病毒引擎；提供三年原厂维保升级服务；7x24小时热线电话支持。确保与市能源局专用网络设备互联互通的同时，数据交换实现真正的物理隔离，确保网络安全。</w:t>
            </w:r>
          </w:p>
        </w:tc>
        <w:tc>
          <w:tcPr>
            <w:tcW w:w="18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奇安信G7000-TG20P</w:t>
            </w:r>
          </w:p>
        </w:tc>
        <w:tc>
          <w:tcPr>
            <w:tcW w:w="5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5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8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p>
        </w:tc>
        <w:tc>
          <w:tcPr>
            <w:tcW w:w="8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11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FF0000"/>
                <w:kern w:val="0"/>
                <w:sz w:val="20"/>
                <w:szCs w:val="20"/>
              </w:rPr>
            </w:pPr>
            <w:r>
              <w:rPr>
                <w:rFonts w:hint="eastAsia" w:ascii="宋体" w:hAnsi="宋体" w:eastAsia="宋体" w:cs="宋体"/>
                <w:kern w:val="0"/>
                <w:sz w:val="20"/>
                <w:szCs w:val="20"/>
              </w:rPr>
              <w:t>实现市能源局与各煤矿不同网络间资源交换的物理隔离</w:t>
            </w:r>
          </w:p>
        </w:tc>
      </w:tr>
    </w:tbl>
    <w:p>
      <w:pPr>
        <w:rPr>
          <w:rFonts w:ascii="仿宋" w:hAnsi="仿宋" w:eastAsia="仿宋"/>
          <w:b/>
          <w:bCs/>
          <w:sz w:val="28"/>
          <w:szCs w:val="28"/>
        </w:rPr>
      </w:pPr>
      <w:r>
        <w:rPr>
          <w:rFonts w:hint="eastAsia" w:ascii="仿宋" w:hAnsi="仿宋" w:eastAsia="仿宋"/>
          <w:b/>
          <w:bCs/>
          <w:sz w:val="28"/>
          <w:szCs w:val="28"/>
        </w:rPr>
        <w:t>3、分布式大小屏应急指挥控制系统清单：</w:t>
      </w:r>
    </w:p>
    <w:tbl>
      <w:tblPr>
        <w:tblStyle w:val="15"/>
        <w:tblW w:w="14996" w:type="dxa"/>
        <w:tblInd w:w="0" w:type="dxa"/>
        <w:tblLayout w:type="fixed"/>
        <w:tblCellMar>
          <w:top w:w="0" w:type="dxa"/>
          <w:left w:w="108" w:type="dxa"/>
          <w:bottom w:w="0" w:type="dxa"/>
          <w:right w:w="108" w:type="dxa"/>
        </w:tblCellMar>
      </w:tblPr>
      <w:tblGrid>
        <w:gridCol w:w="539"/>
        <w:gridCol w:w="874"/>
        <w:gridCol w:w="8982"/>
        <w:gridCol w:w="1020"/>
        <w:gridCol w:w="540"/>
        <w:gridCol w:w="540"/>
        <w:gridCol w:w="800"/>
        <w:gridCol w:w="821"/>
        <w:gridCol w:w="880"/>
      </w:tblGrid>
      <w:tr>
        <w:tblPrEx>
          <w:tblCellMar>
            <w:top w:w="0" w:type="dxa"/>
            <w:left w:w="108" w:type="dxa"/>
            <w:bottom w:w="0" w:type="dxa"/>
            <w:right w:w="108" w:type="dxa"/>
          </w:tblCellMar>
        </w:tblPrEx>
        <w:trPr>
          <w:trHeight w:val="548" w:hRule="atLeast"/>
        </w:trPr>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8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产品</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名称</w:t>
            </w:r>
          </w:p>
        </w:tc>
        <w:tc>
          <w:tcPr>
            <w:tcW w:w="89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内容描述</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参考</w:t>
            </w:r>
            <w:r>
              <w:rPr>
                <w:rFonts w:hint="eastAsia" w:ascii="宋体" w:hAnsi="宋体" w:eastAsia="宋体" w:cs="宋体"/>
                <w:b/>
                <w:bCs/>
                <w:color w:val="000000"/>
                <w:kern w:val="0"/>
                <w:sz w:val="20"/>
                <w:szCs w:val="20"/>
              </w:rPr>
              <w:t>品牌</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单位</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单价</w:t>
            </w:r>
          </w:p>
        </w:tc>
        <w:tc>
          <w:tcPr>
            <w:tcW w:w="8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备注</w:t>
            </w:r>
          </w:p>
        </w:tc>
      </w:tr>
      <w:tr>
        <w:tblPrEx>
          <w:tblCellMar>
            <w:top w:w="0" w:type="dxa"/>
            <w:left w:w="108" w:type="dxa"/>
            <w:bottom w:w="0" w:type="dxa"/>
            <w:right w:w="108" w:type="dxa"/>
          </w:tblCellMar>
        </w:tblPrEx>
        <w:trPr>
          <w:trHeight w:val="298" w:hRule="atLeast"/>
        </w:trPr>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4K分布式编解码一体机</w:t>
            </w:r>
          </w:p>
        </w:tc>
        <w:tc>
          <w:tcPr>
            <w:tcW w:w="898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1、接口参数:  前面板显示屏：具备2个HDMI接口，1个LAN口，2个USB接口，1个DC 12V电源接口，受控端口：REALAY控制口，I/O控制口，串口，红外IR控制口；控制端口：1路IR红外学习口，1路USB控制口，1路RJ45控制口，1路串口。2、主控芯片:设备主控芯片支持≥16 路 ARM Cortex A53 内核，主频最大可达到 1.15HGz。3、I/O接口：支持 IO可以做强驱输出控制电脑开关，可信号检测与机柜联动监控报警，可控制电脑开关，可开关电子锁，可做门禁检测开关等。4、HDMI输入输出自定义：自定义HDMI输入输出模式，可根据实际使用需求定义为输入或输出模块。5、兼容性：H.265硬件实时编解码，向下兼容H.264。6、分辨率：支持 HDMI2.0、4K@60Hz 4:4:4视频输出，确保图像清晰、流畅，分辨率和帧率向下兼容标准分辨率。7、分屏：支持组合画面模式选择，可设置一分屏，4分屏，9分屏，16分屏。8、拼接：支持标准的 LCD,DLP,DID拼接,并支持任意分辨率的LED 拼接且进行 LED同步，单个接口机可以支持 16窗口，无需额外增加拼控或者第三方设备进行上屏操作。9、远程控制：支持远程KVM互动控制，延时小于80ms。10、视频切换：支持视频切换：符合 GA/T 646-2006《视频安防监控系统矩阵切换设备通用技术条件》5.2.1 视频切换功能要求。11、信号源调节：支持调节视频信号源的亮度、色彩、对比度、色调、饱和度等参数。12、信号调节：支持信号源图像去黑边、裁剪、局部放大、偏移校正功能。13、同/异步处理：支持音视频信号同/异步处理切换，单路最多支持16路混音输出。14、多格式视频流：支持 rtsp、rtmp、hls 等网络视频流，满足 app、web、云端这种应用场景包括预览直播、推流、点播。15、定制化控制：支持定制化开发中央控制界面，支持对灯光、窗帘、投影机、投影幕、摄像头、会议设备、音频系统等周边环境设备进行实时控制管理及双向反馈，无需外加设备即可实现。16、权限划分：支持多用户模式，不同用户不同权限，确保系统误操作。17、标题设置：可自定义编辑设置标题内容，字体，大小等参数。18、背景设置：可自定义显示背景，支持超高清背景设置。19、稳定性:平均无故障运行时间至少不少于 100000小时。</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凯新创达XMS7550</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按照视频输入信号和输出信号的总数填写数量即可</w:t>
            </w:r>
          </w:p>
        </w:tc>
      </w:tr>
      <w:tr>
        <w:tblPrEx>
          <w:tblCellMar>
            <w:top w:w="0" w:type="dxa"/>
            <w:left w:w="108" w:type="dxa"/>
            <w:bottom w:w="0" w:type="dxa"/>
            <w:right w:w="108" w:type="dxa"/>
          </w:tblCellMar>
        </w:tblPrEx>
        <w:trPr>
          <w:trHeight w:val="735" w:hRule="atLeast"/>
        </w:trPr>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8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分布式安装笼</w:t>
            </w:r>
          </w:p>
        </w:tc>
        <w:tc>
          <w:tcPr>
            <w:tcW w:w="898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机柜式；满配多台分布式盒子安装（最大支持11台）</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凯新创达</w:t>
            </w:r>
            <w:r>
              <w:rPr>
                <w:rFonts w:ascii="宋体" w:hAnsi="宋体" w:eastAsia="宋体" w:cs="宋体"/>
                <w:kern w:val="0"/>
                <w:sz w:val="20"/>
                <w:szCs w:val="20"/>
              </w:rPr>
              <w:t>POWER100</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sz w:val="22"/>
              </w:rPr>
            </w:pPr>
          </w:p>
        </w:tc>
      </w:tr>
      <w:tr>
        <w:tblPrEx>
          <w:tblCellMar>
            <w:top w:w="0" w:type="dxa"/>
            <w:left w:w="108" w:type="dxa"/>
            <w:bottom w:w="0" w:type="dxa"/>
            <w:right w:w="108" w:type="dxa"/>
          </w:tblCellMar>
        </w:tblPrEx>
        <w:trPr>
          <w:trHeight w:val="3773" w:hRule="atLeast"/>
        </w:trPr>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8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24口POE千兆交换机</w:t>
            </w:r>
          </w:p>
        </w:tc>
        <w:tc>
          <w:tcPr>
            <w:tcW w:w="898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1、交换容量≥400Gbps，包转发率≥156Mpps，若存在双参数以小参数为准，以上需提供官网截图证明和链接；2、千兆POE电口≥24个， 1G/2.5G光口≥4个；Console口≥1个；3、支持IEEE 802.3af/at供电标准，整机最大输出功率≥370W，要求提供官网功率截图证明；4、支持M-LAG技术，跨设备链路聚合（非堆叠技术实现），要求配对的设备有独立的控制平面，要求提供工信部或下属实验室出具的第三方测试报告；5、支持端口聚合，支持手工和静态LACP；支持STP、RSTP、MSTP协议；6、支持通过在网管中心平台的Web页面对交换机进行可视化管理查看，包括交换机的端口状态及配置、vlan信息；7、支持防网关ARP欺骗，支持端口保护、隔离、防止ARP泛洪攻击功能；8、支持终端类型库，基于指纹自动识别PC、路由器、摄像头设备、无线AP等；要求提供具有CMA和CNAS认证章的第三方权威机构测试报告；9、支持在交换机上创建东西向安全策略，实现全网安全风险拦截；要求提供具有CMA和CNAS认证章的第三方权威机构测试报告；10、为保证设备在受到外界机械碰撞时能够正常运行，要求所投交换机IK防护测试级别至少达到IK06；要求提供具有CMA和CNAS认证章的第三方权威机构测试报告。</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信锐XS3000-28P-PWR-LI</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sz w:val="22"/>
              </w:rPr>
            </w:pPr>
          </w:p>
        </w:tc>
      </w:tr>
      <w:tr>
        <w:tblPrEx>
          <w:tblCellMar>
            <w:top w:w="0" w:type="dxa"/>
            <w:left w:w="108" w:type="dxa"/>
            <w:bottom w:w="0" w:type="dxa"/>
            <w:right w:w="108" w:type="dxa"/>
          </w:tblCellMar>
        </w:tblPrEx>
        <w:trPr>
          <w:trHeight w:val="2841" w:hRule="atLeast"/>
        </w:trPr>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8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桌面触摸屏 （含分布式软件）</w:t>
            </w:r>
          </w:p>
        </w:tc>
        <w:tc>
          <w:tcPr>
            <w:tcW w:w="898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嵌入式分布式操作系统软件，系统CPU:RK3288 Quad core cortex A17, RAM:2GB, 内存:16GB, 操作系统:Android 8.1,  触摸屏:10点电容式触摸, 显示LCD 屏:10.1"高清, 分辨率:1280*800, 显示模式：常黑,可视角度：85,对比度：800  ,亮度：250cd/m2, 屏幕比例：16：1,网络WiFi：802.11b/g/n , 蓝牙：蓝牙4.0 ,  以太网：10M/100M,接口TF card：TF卡,(支持最大 32GB) , Type-c：仅支持USB OTG,  USB：USB 2.0 host,  USB：USB 用于串口（RS232格式）,电源插孔：DC 电源输入, 耳机：3.5mm立体声耳机输出, RJ45：仅有以太网功能 ,媒体播放:视频格式：MPEG-1,MPEG-2,MPEG-4,H.265,H.264,VC-1,VP8, etc.,支持最大 4k, 音频格式：MP3/WMA/AAC etc. ,图片格式：jpeg, 麦克风:标配, 喇叭:2*2W,OSD 语言:多国语言OSD操作,工作温度:0--40度,适配器:电源适配器 12V/1.5A</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凯新创达WCC-TS1012</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sz w:val="20"/>
                <w:szCs w:val="20"/>
              </w:rPr>
            </w:pPr>
            <w:r>
              <w:rPr>
                <w:rFonts w:hint="eastAsia" w:ascii="宋体" w:hAnsi="宋体" w:eastAsia="宋体" w:cs="宋体"/>
                <w:kern w:val="0"/>
                <w:sz w:val="20"/>
                <w:szCs w:val="20"/>
              </w:rPr>
              <w:t>指挥中心分布式控操作屏</w:t>
            </w:r>
          </w:p>
        </w:tc>
      </w:tr>
      <w:tr>
        <w:tblPrEx>
          <w:tblCellMar>
            <w:top w:w="0" w:type="dxa"/>
            <w:left w:w="108" w:type="dxa"/>
            <w:bottom w:w="0" w:type="dxa"/>
            <w:right w:w="108" w:type="dxa"/>
          </w:tblCellMar>
        </w:tblPrEx>
        <w:trPr>
          <w:trHeight w:val="5175" w:hRule="atLeast"/>
        </w:trPr>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874"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视频综合管理平台</w:t>
            </w:r>
          </w:p>
        </w:tc>
        <w:tc>
          <w:tcPr>
            <w:tcW w:w="8982"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宋体" w:hAnsi="宋体" w:cs="宋体"/>
                <w:kern w:val="0"/>
                <w:sz w:val="20"/>
                <w:szCs w:val="20"/>
              </w:rPr>
            </w:pPr>
            <w:r>
              <w:rPr>
                <w:rFonts w:ascii="宋体" w:hAnsi="宋体" w:eastAsia="宋体" w:cs="宋体"/>
                <w:kern w:val="0"/>
                <w:sz w:val="20"/>
                <w:szCs w:val="20"/>
              </w:rPr>
              <w:t>1、集中管控，管用分离。可实现多会场之间的音视频数据共享和交互，并通过用户权限管理实现跨地域跨网络的统一管控。2、控制软件Windows版本，可以在PC、触摸屏各种终端上实现对全平台的控制，包括大屏控制、信号源检索、设备控制等功能；3、虚拟大屏、以及设备的控制，都支持通过设计软件进行自定义布局和设置，包括系统LOGO。4、交互方式采用触摸的方式，可以实现信号源拖拽大屏投放，对信号源窗口可以放大、缩小、移动、关闭操作。将信号源拖拽到系统大屏区域。5、能够一键切换大屏布局模式，控制大屏电源开关。6、通过滑动的方</w:t>
            </w:r>
            <w:r>
              <w:rPr>
                <w:rFonts w:hint="eastAsia" w:ascii="宋体" w:hAnsi="宋体" w:eastAsia="宋体" w:cs="宋体"/>
                <w:kern w:val="0"/>
                <w:sz w:val="20"/>
                <w:szCs w:val="20"/>
              </w:rPr>
              <w:t>式查看更多信号源，也可以按照名称进行检索。用户只需要在检索框中输入信号源关键字就可以快速查询信号源。</w:t>
            </w:r>
            <w:r>
              <w:rPr>
                <w:rFonts w:ascii="宋体" w:hAnsi="宋体" w:eastAsia="宋体" w:cs="宋体"/>
                <w:kern w:val="0"/>
                <w:sz w:val="20"/>
                <w:szCs w:val="20"/>
              </w:rPr>
              <w:t>7、支持现场环境设备的控制功能，包括音频设备、摄像头、投影机、灯光等设备。8、可自定义用户管理界面格式及内容，定制化设计；内置主流设备库，如摄像机、DVD、矩阵、投影机等。9、满足多种场景预案设置功能：场景内联动控制，间隔时间设置；一键控制，简单智能；切换时间小于1秒。10、8路RS-232/485控制端</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持</w:t>
            </w:r>
            <w:r>
              <w:rPr>
                <w:rFonts w:ascii="宋体" w:hAnsi="宋体" w:eastAsia="宋体" w:cs="宋体"/>
                <w:kern w:val="0"/>
                <w:sz w:val="20"/>
                <w:szCs w:val="20"/>
              </w:rPr>
              <w:t>115200bps及以下），可以收发RS-232、RS-485串</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数据；</w:t>
            </w:r>
            <w:r>
              <w:rPr>
                <w:rFonts w:ascii="宋体" w:hAnsi="宋体" w:eastAsia="宋体" w:cs="宋体"/>
                <w:kern w:val="0"/>
                <w:sz w:val="20"/>
                <w:szCs w:val="20"/>
              </w:rPr>
              <w:t>11、8路数字I/O和8路</w:t>
            </w:r>
            <w:r>
              <w:rPr>
                <w:rFonts w:hint="eastAsia" w:ascii="宋体" w:hAnsi="宋体" w:eastAsia="宋体" w:cs="宋体"/>
                <w:kern w:val="0"/>
                <w:sz w:val="20"/>
                <w:szCs w:val="20"/>
              </w:rPr>
              <w:t>弱继电器</w:t>
            </w:r>
            <w:r>
              <w:rPr>
                <w:rFonts w:ascii="宋体" w:hAnsi="宋体" w:eastAsia="宋体" w:cs="宋体"/>
                <w:kern w:val="0"/>
                <w:sz w:val="20"/>
                <w:szCs w:val="20"/>
              </w:rPr>
              <w:t>RELAY端</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于控制周边设备，如窗帘的开</w:t>
            </w:r>
            <w:r>
              <w:rPr>
                <w:rFonts w:ascii="宋体" w:hAnsi="宋体" w:eastAsia="宋体" w:cs="宋体"/>
                <w:kern w:val="0"/>
                <w:sz w:val="20"/>
                <w:szCs w:val="20"/>
              </w:rPr>
              <w:t>/闭，投影机的升/降，灯光开/关等；12、</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持</w:t>
            </w:r>
            <w:r>
              <w:rPr>
                <w:rFonts w:ascii="宋体" w:hAnsi="宋体" w:eastAsia="宋体" w:cs="宋体"/>
                <w:kern w:val="0"/>
                <w:sz w:val="20"/>
                <w:szCs w:val="20"/>
              </w:rPr>
              <w:t>8路IR红外发射</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，可实现对</w:t>
            </w:r>
            <w:r>
              <w:rPr>
                <w:rFonts w:ascii="宋体" w:hAnsi="宋体" w:eastAsia="宋体" w:cs="宋体"/>
                <w:kern w:val="0"/>
                <w:sz w:val="20"/>
                <w:szCs w:val="20"/>
              </w:rPr>
              <w:t>DVD、CD、MD放</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机和投影机等的遥控；</w:t>
            </w:r>
            <w:r>
              <w:rPr>
                <w:rFonts w:ascii="宋体" w:hAnsi="宋体" w:eastAsia="宋体" w:cs="宋体"/>
                <w:kern w:val="0"/>
                <w:sz w:val="20"/>
                <w:szCs w:val="20"/>
              </w:rPr>
              <w:t>13、1路RJ-45接</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持</w:t>
            </w:r>
            <w:r>
              <w:rPr>
                <w:rFonts w:ascii="宋体" w:hAnsi="宋体" w:eastAsia="宋体" w:cs="宋体"/>
                <w:kern w:val="0"/>
                <w:sz w:val="20"/>
                <w:szCs w:val="20"/>
              </w:rPr>
              <w:t>UDP客</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端，</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于实现远程控制；</w:t>
            </w:r>
            <w:r>
              <w:rPr>
                <w:rFonts w:ascii="宋体" w:hAnsi="宋体" w:eastAsia="宋体" w:cs="宋体"/>
                <w:kern w:val="0"/>
                <w:sz w:val="20"/>
                <w:szCs w:val="20"/>
              </w:rPr>
              <w:t>14、1路USB2.0接</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于连接电脑对控制主机进</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设置以及</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络升级；</w:t>
            </w:r>
            <w:r>
              <w:rPr>
                <w:rFonts w:ascii="宋体" w:hAnsi="宋体" w:eastAsia="宋体" w:cs="宋体"/>
                <w:kern w:val="0"/>
                <w:sz w:val="20"/>
                <w:szCs w:val="20"/>
              </w:rPr>
              <w:t>15、1路IR红外学习接</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，可把红外数据保存到主机供后续</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程或维护升级使</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w:t>
            </w:r>
            <w:r>
              <w:rPr>
                <w:rFonts w:ascii="宋体" w:hAnsi="宋体" w:eastAsia="宋体" w:cs="宋体"/>
                <w:kern w:val="0"/>
                <w:sz w:val="20"/>
                <w:szCs w:val="20"/>
              </w:rPr>
              <w:t>16、1路RS-232端</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持</w:t>
            </w:r>
            <w:r>
              <w:rPr>
                <w:rFonts w:ascii="宋体" w:hAnsi="宋体" w:eastAsia="宋体" w:cs="宋体"/>
                <w:kern w:val="0"/>
                <w:sz w:val="20"/>
                <w:szCs w:val="20"/>
              </w:rPr>
              <w:t>115200bps）；17、配置1路HDMI输出，</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持拓展设备接</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w:t>
            </w:r>
            <w:r>
              <w:rPr>
                <w:rFonts w:ascii="宋体" w:hAnsi="宋体" w:eastAsia="宋体" w:cs="宋体"/>
                <w:kern w:val="0"/>
                <w:sz w:val="20"/>
                <w:szCs w:val="20"/>
              </w:rPr>
              <w:t>18、最</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持</w:t>
            </w:r>
            <w:r>
              <w:rPr>
                <w:rFonts w:ascii="宋体" w:hAnsi="宋体" w:eastAsia="宋体" w:cs="宋体"/>
                <w:kern w:val="0"/>
                <w:sz w:val="20"/>
                <w:szCs w:val="20"/>
              </w:rPr>
              <w:t>4路视频预览；19、</w:t>
            </w:r>
            <w:r>
              <w:rPr>
                <w:rFonts w:hint="eastAsia" w:ascii="宋体" w:hAnsi="宋体" w:eastAsia="宋体" w:cs="宋体"/>
                <w:kern w:val="0"/>
                <w:sz w:val="20"/>
                <w:szCs w:val="20"/>
              </w:rPr>
              <w:t>内置</w:t>
            </w:r>
            <w:r>
              <w:rPr>
                <w:rFonts w:ascii="宋体" w:hAnsi="宋体" w:eastAsia="宋体" w:cs="宋体"/>
                <w:kern w:val="0"/>
                <w:sz w:val="20"/>
                <w:szCs w:val="20"/>
              </w:rPr>
              <w:t>WEB可编程服务器功能。</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凯新创达MCC-350</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p>
        </w:tc>
        <w:tc>
          <w:tcPr>
            <w:tcW w:w="82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p>
        </w:tc>
        <w:tc>
          <w:tcPr>
            <w:tcW w:w="880"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eastAsia="宋体" w:cs="宋体"/>
                <w:color w:val="FF0000"/>
                <w:kern w:val="0"/>
                <w:sz w:val="22"/>
              </w:rPr>
            </w:pPr>
          </w:p>
        </w:tc>
      </w:tr>
      <w:tr>
        <w:tblPrEx>
          <w:tblCellMar>
            <w:top w:w="0" w:type="dxa"/>
            <w:left w:w="108" w:type="dxa"/>
            <w:bottom w:w="0" w:type="dxa"/>
            <w:right w:w="108" w:type="dxa"/>
          </w:tblCellMar>
        </w:tblPrEx>
        <w:trPr>
          <w:trHeight w:val="40" w:hRule="atLeast"/>
        </w:trPr>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874"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领导办公室观摩屏（含安装支架）</w:t>
            </w:r>
          </w:p>
        </w:tc>
        <w:tc>
          <w:tcPr>
            <w:tcW w:w="8982"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1.★整机采用65英寸UHD超高清LED液晶屏，显示比例16:9，屏幕图像分辨率≥3840*2160，全高清4K系统图标显示，屏幕亮度≥280cd/m²，对比度≥5000:1，色域≥72%NTSC；2.整机采用双边红外触控设计，支持至少20点触控，屏幕触摸有效识别高度≤3mm，即触摸物体距离玻璃外表面高度≤3mm时，触摸屏识别为点击操作，保证触摸精准；单点触摸响应时间≤10ms，90%以上触摸区域精度为±2mm；3.▲内置Android系统，Android版本不低于Android 11.0，CPU配置不低于4核A55，GPU配置不低于2核G52，RAM≥4GB，ROM≥32GB；4.内置扬声器，且扬声器功率≥2×8W；5.整机I/O接口:≥2路HDMI IN；≥1路 USB 2.0；≥1路TOUCH；≥1路AUDIO OUT；≥1路RS232；≥1路RJ45；6.整机书写面板采用防眩光全钢化防爆玻璃面板，面板的碎片状态、抗冲击性、霰弹袋冲击性能、耐热冲击性能均通过国家强制玻璃标准，可见光透射比不低于88%；7.整机物理开关按键，集屏幕开关、系统开关和节能待机功能三合一，操作更便捷；8.为保证整机一体性，要求采用内置天线设计，整机无外接天线；9.▲内置白板书写应用，支持手势操作，单指书写、双指放大/缩小、多指拖拽／移动、单手擦除，支持在白板应用中将本地的word、ppt等常用文件以窗口化打开，并支持预览、翻页、全屏、批注、截屏等操作；10.▲内置无线传屏接收器，无需外接设备即可实现电脑、手机等终端画面共享功能，手机和电脑支持混合投屏展示，最多支持4个画面同屏展示；11.支持集控管理平台软件对接，实现集控相关功能，如：批量设备管理、远程操控、个性化设置、软件管理、报表管理、账号管理功能；12.▲整机产品机身为金属外壳，满足GB4943.1-2011标准中的防火要求，有效避免产品意外燃烧，确保环境安全；13.厂商通过ISO9001、ISO14001、ISO45001等管理体系认证，提供相关认证证书复印件并加盖厂商公章；14.▲厂商通过QC080000有害物质过程管理认证，提供相关认证证书复印件并加盖厂商公章；15.厂商具备省市级高新技术企业资质，提供证书复印件并加盖厂商公章；16.▲生产厂商通过GB/T 27922-2011售后服务评价体系及SB/T10962-2013商品经营企业服务质量评价体系，评级10星，提供认证证书复印件并加盖厂商公章；</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rPr>
                <w:rFonts w:ascii="宋体" w:hAnsi="宋体" w:eastAsia="宋体" w:cs="宋体"/>
                <w:kern w:val="0"/>
                <w:sz w:val="20"/>
                <w:szCs w:val="20"/>
              </w:rPr>
            </w:pPr>
            <w:r>
              <w:rPr>
                <w:rFonts w:hint="eastAsia" w:ascii="宋体" w:hAnsi="宋体" w:eastAsia="宋体" w:cs="宋体"/>
                <w:kern w:val="0"/>
                <w:sz w:val="20"/>
                <w:szCs w:val="20"/>
              </w:rPr>
              <w:t>Goodview-LF65GA</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p>
        </w:tc>
        <w:tc>
          <w:tcPr>
            <w:tcW w:w="82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p>
        </w:tc>
        <w:tc>
          <w:tcPr>
            <w:tcW w:w="880" w:type="dxa"/>
            <w:vMerge w:val="restart"/>
            <w:tcBorders>
              <w:top w:val="single" w:color="auto" w:sz="4" w:space="0"/>
              <w:left w:val="nil"/>
              <w:right w:val="single" w:color="auto" w:sz="4" w:space="0"/>
            </w:tcBorders>
            <w:shd w:val="clear" w:color="auto" w:fill="auto"/>
            <w:noWrap/>
            <w:vAlign w:val="center"/>
          </w:tcPr>
          <w:p>
            <w:pPr>
              <w:widowControl/>
              <w:adjustRightInd w:val="0"/>
              <w:snapToGrid w:val="0"/>
              <w:jc w:val="center"/>
              <w:rPr>
                <w:rFonts w:ascii="宋体" w:hAnsi="宋体" w:eastAsia="宋体" w:cs="宋体"/>
                <w:color w:val="FF0000"/>
                <w:kern w:val="0"/>
                <w:sz w:val="20"/>
                <w:szCs w:val="20"/>
              </w:rPr>
            </w:pPr>
            <w:r>
              <w:rPr>
                <w:rFonts w:hint="eastAsia" w:ascii="宋体" w:hAnsi="宋体" w:eastAsia="宋体" w:cs="宋体"/>
                <w:kern w:val="0"/>
                <w:sz w:val="20"/>
                <w:szCs w:val="20"/>
              </w:rPr>
              <w:t>领导办公室大屏信号巡视、视频入会、各种信号调巡专用设备</w:t>
            </w:r>
          </w:p>
        </w:tc>
      </w:tr>
      <w:tr>
        <w:tblPrEx>
          <w:tblCellMar>
            <w:top w:w="0" w:type="dxa"/>
            <w:left w:w="108" w:type="dxa"/>
            <w:bottom w:w="0" w:type="dxa"/>
            <w:right w:w="108" w:type="dxa"/>
          </w:tblCellMar>
        </w:tblPrEx>
        <w:trPr>
          <w:trHeight w:val="2841" w:hRule="atLeast"/>
        </w:trPr>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874"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领导桌面触摸屏（含分布式软件）</w:t>
            </w:r>
          </w:p>
        </w:tc>
        <w:tc>
          <w:tcPr>
            <w:tcW w:w="8982"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嵌入式分布式操作系统软件，系统CPU:RK3288 Quad core cortex A17, RAM:2GB, 内存:16GB, 操作系统:Android 8.1,  触摸屏:10点电容式触摸, 显示LCD 屏:10.1"高清, 分辨率:1280*800, 显示模式：常黑,可视角度：85,对比度：800  ,亮度：250cd/m2, 屏幕比例：16：1,网络WiFi：802.11b/g/n , 蓝牙：蓝牙4.0 ,  以太网：10M/100M,接口TF card：TF卡,(支持最大 32GB) , Type-c：仅支持USB OTG,  USB：USB 2.0 host,  USB：USB 用于串口（RS232格式）,电源插孔：DC 电源输入, 耳机：3.5mm立体声耳机输出, RJ45：仅有以太网功能 ,媒体播放:视频格式：MPEG-1,MPEG-2,MPEG-4,H.265,H.264,VC-1,VP8, etc.,支持最大 4k, 音频格式：MP3/WMA/AAC etc. ,图片格式：jpeg, 麦克风:标配, 喇叭:2*2W,OSD 语言:多国语言OSD操作,工作温度:0--40度,适配器:电源适配器 12V/1.5A</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凯新创达WCC-TS1012</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p>
        </w:tc>
        <w:tc>
          <w:tcPr>
            <w:tcW w:w="82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p>
        </w:tc>
        <w:tc>
          <w:tcPr>
            <w:tcW w:w="880" w:type="dxa"/>
            <w:vMerge w:val="continue"/>
            <w:tcBorders>
              <w:left w:val="nil"/>
              <w:right w:val="single" w:color="auto" w:sz="4" w:space="0"/>
            </w:tcBorders>
            <w:shd w:val="clear" w:color="auto" w:fill="auto"/>
            <w:noWrap/>
            <w:vAlign w:val="center"/>
          </w:tcPr>
          <w:p>
            <w:pPr>
              <w:widowControl/>
              <w:adjustRightInd w:val="0"/>
              <w:snapToGrid w:val="0"/>
              <w:jc w:val="center"/>
              <w:rPr>
                <w:rFonts w:ascii="宋体" w:hAnsi="宋体" w:eastAsia="宋体" w:cs="宋体"/>
                <w:color w:val="FF0000"/>
                <w:kern w:val="0"/>
                <w:sz w:val="22"/>
              </w:rPr>
            </w:pPr>
          </w:p>
        </w:tc>
      </w:tr>
      <w:tr>
        <w:tblPrEx>
          <w:tblCellMar>
            <w:top w:w="0" w:type="dxa"/>
            <w:left w:w="108" w:type="dxa"/>
            <w:bottom w:w="0" w:type="dxa"/>
            <w:right w:w="108" w:type="dxa"/>
          </w:tblCellMar>
        </w:tblPrEx>
        <w:trPr>
          <w:trHeight w:val="1550" w:hRule="atLeast"/>
        </w:trPr>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874"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可视化话机调度</w:t>
            </w:r>
          </w:p>
        </w:tc>
        <w:tc>
          <w:tcPr>
            <w:tcW w:w="8982"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设备参数：1.显示屏：≥8英寸，触摸屏；2.分辨率：≥1280*800；3.操作系统：支持安卓操作系统，支持语音、视频通信功能；4.音频编解码：G.722、G.711A/U、G.729、iLBC、Opus；5.视频编解码：H.264、VP8；6.网络接口：2个RJ45接口、支持10/100/1000M网口自适应、VLAN、支持POE；7.接入方式：双模通信，同时支持PSTN和融合通信桌面终端APP功能；8.手柄接口：1个RJ9接口。软件参数：1.支持通讯录功能：根据部门结构加载部门联系人，以及联系人关联的调度设备资源；2.支持预案调度功能，便捷创建、编辑、快速开启视频预案；3.支持设备收藏功能；4.支持常用联系人功能，通过通讯录可以快速设置常用联系人；5.支持快速检索功能，可以根据拼音、关键字对联系人、设备名称进行快速检索；6.支持点调视频会议，电话、执法仪、移动APP、融信话机；7.支持在一对一的通话时，快速添加其他类型终端召开多方会议；8.支持在多方会议中添加其他类型终端入会；9.支持召开跨设备类型的多方会议，设备类型包含视频会议，电话、执法仪、移动APP、融信话机；10.支持召开不少于9方会议；11.支持临时呼叫不在通讯录中的固话、手机号码；12.支持常规的会控操作：静音、哑音、挂断、呼叫；13.支持呼叫保持功能，会议中有电话呼入时，支持对当前的会议进行呼叫保持，电话结束后，可以快速恢复之前的会议中；14.支持拼音输入和手动输入两种输入模式。可接入济宁市能源局应急处置视频智能通讯调度平台实现一键式统一调度功能，具备24小时在线值班调度，可利用应急处置音视频智能通讯软件APP实现手机端与可视化调度话机的直接调度。音视频调度主要用于视频上传、视频转发、双向视频连线等功能。含应急处置视频智能通讯调度平台客户端终身授权费用。含平台应用操作、人员更换系统维护培训、应急情况下24小时现场技术支持、产品三年质保及五年免费上门维护费用。本平台应用于能源局视频专网。</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科达RCS-OP-VTS</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p>
        </w:tc>
        <w:tc>
          <w:tcPr>
            <w:tcW w:w="82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color w:val="000000"/>
                <w:kern w:val="0"/>
                <w:sz w:val="20"/>
                <w:szCs w:val="20"/>
              </w:rPr>
            </w:pPr>
          </w:p>
        </w:tc>
        <w:tc>
          <w:tcPr>
            <w:tcW w:w="880" w:type="dxa"/>
            <w:vMerge w:val="continue"/>
            <w:tcBorders>
              <w:left w:val="nil"/>
              <w:right w:val="single" w:color="auto" w:sz="4" w:space="0"/>
            </w:tcBorders>
            <w:shd w:val="clear" w:color="auto" w:fill="auto"/>
            <w:noWrap/>
            <w:vAlign w:val="center"/>
          </w:tcPr>
          <w:p>
            <w:pPr>
              <w:widowControl/>
              <w:adjustRightInd w:val="0"/>
              <w:snapToGrid w:val="0"/>
              <w:jc w:val="center"/>
              <w:rPr>
                <w:rFonts w:ascii="宋体" w:hAnsi="宋体" w:eastAsia="宋体" w:cs="宋体"/>
                <w:color w:val="FF0000"/>
                <w:kern w:val="0"/>
                <w:sz w:val="22"/>
              </w:rPr>
            </w:pPr>
          </w:p>
        </w:tc>
      </w:tr>
      <w:tr>
        <w:tblPrEx>
          <w:tblCellMar>
            <w:top w:w="0" w:type="dxa"/>
            <w:left w:w="108" w:type="dxa"/>
            <w:bottom w:w="0" w:type="dxa"/>
            <w:right w:w="108" w:type="dxa"/>
          </w:tblCellMar>
        </w:tblPrEx>
        <w:trPr>
          <w:trHeight w:val="1103" w:hRule="atLeast"/>
        </w:trPr>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874"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8口POE交换机</w:t>
            </w:r>
          </w:p>
        </w:tc>
        <w:tc>
          <w:tcPr>
            <w:tcW w:w="8982"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二层管理型POE交换机，8个千兆POE电口，2个千兆SFP光口，支持IEEE 802.3af/at供电标准，单端口最大输出功率30W，整机最大输出功率140W；交换容量256Gbps，包转发率27Mpps；支持全端口线速转发。</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信锐</w:t>
            </w:r>
          </w:p>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XS3000-10P-PWR-LI</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p>
        </w:tc>
        <w:tc>
          <w:tcPr>
            <w:tcW w:w="82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p>
        </w:tc>
        <w:tc>
          <w:tcPr>
            <w:tcW w:w="880" w:type="dxa"/>
            <w:vMerge w:val="continue"/>
            <w:tcBorders>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eastAsia="宋体" w:cs="宋体"/>
                <w:color w:val="FF0000"/>
                <w:kern w:val="0"/>
                <w:sz w:val="22"/>
              </w:rPr>
            </w:pPr>
          </w:p>
        </w:tc>
      </w:tr>
      <w:tr>
        <w:tblPrEx>
          <w:tblCellMar>
            <w:top w:w="0" w:type="dxa"/>
            <w:left w:w="108" w:type="dxa"/>
            <w:bottom w:w="0" w:type="dxa"/>
            <w:right w:w="108" w:type="dxa"/>
          </w:tblCellMar>
        </w:tblPrEx>
        <w:trPr>
          <w:trHeight w:val="683" w:hRule="atLeast"/>
        </w:trPr>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874"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线缆辅材</w:t>
            </w:r>
          </w:p>
        </w:tc>
        <w:tc>
          <w:tcPr>
            <w:tcW w:w="8982"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宋体" w:hAnsi="宋体" w:eastAsia="宋体" w:cs="宋体"/>
                <w:kern w:val="0"/>
                <w:sz w:val="20"/>
                <w:szCs w:val="20"/>
              </w:rPr>
            </w:pPr>
            <w:r>
              <w:rPr>
                <w:rFonts w:hint="eastAsia" w:ascii="宋体" w:hAnsi="宋体" w:eastAsia="宋体" w:cs="宋体"/>
                <w:kern w:val="0"/>
                <w:sz w:val="20"/>
                <w:szCs w:val="20"/>
              </w:rPr>
              <w:t>国产优质：网线、视频线缆、音频线缆、接插件及安装调试费用；包含到领导办公室光纤等网络辅材；含安装调试等。</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联通</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批</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p>
        </w:tc>
        <w:tc>
          <w:tcPr>
            <w:tcW w:w="82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0"/>
                <w:szCs w:val="20"/>
              </w:rPr>
            </w:pPr>
          </w:p>
        </w:tc>
        <w:tc>
          <w:tcPr>
            <w:tcW w:w="880"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eastAsia="宋体" w:cs="宋体"/>
                <w:color w:val="FF0000"/>
                <w:kern w:val="0"/>
                <w:sz w:val="22"/>
              </w:rPr>
            </w:pPr>
          </w:p>
        </w:tc>
      </w:tr>
    </w:tbl>
    <w:p>
      <w:pPr>
        <w:widowControl/>
        <w:jc w:val="left"/>
        <w:rPr>
          <w:rFonts w:ascii="仿宋" w:hAnsi="仿宋" w:eastAsia="仿宋"/>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3000509000000000000"/>
    <w:charset w:val="86"/>
    <w:family w:val="auto"/>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7658570"/>
      <w:docPartObj>
        <w:docPartGallery w:val="autotext"/>
      </w:docPartObj>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5YmRhZTczM2Q1NzU3Njc2NTgyNjJhODJiNTk5NzUifQ=="/>
  </w:docVars>
  <w:rsids>
    <w:rsidRoot w:val="002A3117"/>
    <w:rsid w:val="00006598"/>
    <w:rsid w:val="00012101"/>
    <w:rsid w:val="00014BA5"/>
    <w:rsid w:val="00021877"/>
    <w:rsid w:val="00024E7C"/>
    <w:rsid w:val="00041575"/>
    <w:rsid w:val="000427C0"/>
    <w:rsid w:val="000619C3"/>
    <w:rsid w:val="00063114"/>
    <w:rsid w:val="000676D8"/>
    <w:rsid w:val="00094EBE"/>
    <w:rsid w:val="00094FCD"/>
    <w:rsid w:val="000954B6"/>
    <w:rsid w:val="000A2693"/>
    <w:rsid w:val="000B0DB1"/>
    <w:rsid w:val="000E2DAE"/>
    <w:rsid w:val="00103174"/>
    <w:rsid w:val="001063D4"/>
    <w:rsid w:val="001301D8"/>
    <w:rsid w:val="00165190"/>
    <w:rsid w:val="00190064"/>
    <w:rsid w:val="001963B3"/>
    <w:rsid w:val="001A1B7B"/>
    <w:rsid w:val="001A6058"/>
    <w:rsid w:val="001F0CAD"/>
    <w:rsid w:val="001F19FE"/>
    <w:rsid w:val="00200CE8"/>
    <w:rsid w:val="00226E6E"/>
    <w:rsid w:val="00230A64"/>
    <w:rsid w:val="002353B5"/>
    <w:rsid w:val="00240AD4"/>
    <w:rsid w:val="002618CD"/>
    <w:rsid w:val="002663B3"/>
    <w:rsid w:val="00280455"/>
    <w:rsid w:val="002A3117"/>
    <w:rsid w:val="002B35ED"/>
    <w:rsid w:val="002B614B"/>
    <w:rsid w:val="002C0D7C"/>
    <w:rsid w:val="002C5A7C"/>
    <w:rsid w:val="002D4115"/>
    <w:rsid w:val="002D4364"/>
    <w:rsid w:val="002D482D"/>
    <w:rsid w:val="002E5605"/>
    <w:rsid w:val="00333E7A"/>
    <w:rsid w:val="00336C55"/>
    <w:rsid w:val="0035785C"/>
    <w:rsid w:val="0038752D"/>
    <w:rsid w:val="003A27AB"/>
    <w:rsid w:val="003B2BD9"/>
    <w:rsid w:val="003B498C"/>
    <w:rsid w:val="003C0A92"/>
    <w:rsid w:val="003E25AA"/>
    <w:rsid w:val="00450D64"/>
    <w:rsid w:val="00466199"/>
    <w:rsid w:val="00496413"/>
    <w:rsid w:val="004B2A56"/>
    <w:rsid w:val="004B5295"/>
    <w:rsid w:val="004C33BF"/>
    <w:rsid w:val="004D4FCE"/>
    <w:rsid w:val="004E2AD8"/>
    <w:rsid w:val="004E5449"/>
    <w:rsid w:val="004F2845"/>
    <w:rsid w:val="004F5181"/>
    <w:rsid w:val="00501172"/>
    <w:rsid w:val="0051028E"/>
    <w:rsid w:val="005424B8"/>
    <w:rsid w:val="00557E50"/>
    <w:rsid w:val="00571214"/>
    <w:rsid w:val="00584249"/>
    <w:rsid w:val="00592559"/>
    <w:rsid w:val="005C1BE0"/>
    <w:rsid w:val="005C7D03"/>
    <w:rsid w:val="005D07C9"/>
    <w:rsid w:val="006071A9"/>
    <w:rsid w:val="00632D62"/>
    <w:rsid w:val="006348B9"/>
    <w:rsid w:val="00672B21"/>
    <w:rsid w:val="006A6001"/>
    <w:rsid w:val="006B0946"/>
    <w:rsid w:val="006B31E4"/>
    <w:rsid w:val="006C1EC2"/>
    <w:rsid w:val="006C278E"/>
    <w:rsid w:val="006C391B"/>
    <w:rsid w:val="006C5DC4"/>
    <w:rsid w:val="00721B26"/>
    <w:rsid w:val="00727D14"/>
    <w:rsid w:val="00781374"/>
    <w:rsid w:val="007A4C26"/>
    <w:rsid w:val="007A50BD"/>
    <w:rsid w:val="007C6053"/>
    <w:rsid w:val="007C7EB3"/>
    <w:rsid w:val="007D06D7"/>
    <w:rsid w:val="007F167C"/>
    <w:rsid w:val="00805E68"/>
    <w:rsid w:val="00823F37"/>
    <w:rsid w:val="008310D9"/>
    <w:rsid w:val="008323FE"/>
    <w:rsid w:val="00854997"/>
    <w:rsid w:val="0086273C"/>
    <w:rsid w:val="00866D60"/>
    <w:rsid w:val="00867516"/>
    <w:rsid w:val="00876DBA"/>
    <w:rsid w:val="00905354"/>
    <w:rsid w:val="0092662C"/>
    <w:rsid w:val="009312C4"/>
    <w:rsid w:val="00963C7D"/>
    <w:rsid w:val="00975C3F"/>
    <w:rsid w:val="0098512A"/>
    <w:rsid w:val="009B7EC1"/>
    <w:rsid w:val="009D6D71"/>
    <w:rsid w:val="009E74D0"/>
    <w:rsid w:val="009F05DD"/>
    <w:rsid w:val="009F6787"/>
    <w:rsid w:val="00A16AE7"/>
    <w:rsid w:val="00A5172A"/>
    <w:rsid w:val="00A9361E"/>
    <w:rsid w:val="00A956C7"/>
    <w:rsid w:val="00AB61B1"/>
    <w:rsid w:val="00AD0E5B"/>
    <w:rsid w:val="00B268F8"/>
    <w:rsid w:val="00B358F2"/>
    <w:rsid w:val="00B364BB"/>
    <w:rsid w:val="00B437A0"/>
    <w:rsid w:val="00B57B53"/>
    <w:rsid w:val="00B821D0"/>
    <w:rsid w:val="00BA6CFD"/>
    <w:rsid w:val="00BC3324"/>
    <w:rsid w:val="00BC3B15"/>
    <w:rsid w:val="00BE244B"/>
    <w:rsid w:val="00C20A67"/>
    <w:rsid w:val="00C31FF8"/>
    <w:rsid w:val="00C467C2"/>
    <w:rsid w:val="00CC13E5"/>
    <w:rsid w:val="00CC2943"/>
    <w:rsid w:val="00CC39A0"/>
    <w:rsid w:val="00CD24CB"/>
    <w:rsid w:val="00CE593C"/>
    <w:rsid w:val="00D05382"/>
    <w:rsid w:val="00D17B9D"/>
    <w:rsid w:val="00D42AB6"/>
    <w:rsid w:val="00D56EE9"/>
    <w:rsid w:val="00D666F5"/>
    <w:rsid w:val="00D74B67"/>
    <w:rsid w:val="00DA2D61"/>
    <w:rsid w:val="00DA5CDF"/>
    <w:rsid w:val="00DB5DE2"/>
    <w:rsid w:val="00DC7FD2"/>
    <w:rsid w:val="00DF5867"/>
    <w:rsid w:val="00E2137D"/>
    <w:rsid w:val="00E26FEE"/>
    <w:rsid w:val="00E475DA"/>
    <w:rsid w:val="00E66A7B"/>
    <w:rsid w:val="00E80649"/>
    <w:rsid w:val="00E86DBE"/>
    <w:rsid w:val="00EA08C7"/>
    <w:rsid w:val="00EA181B"/>
    <w:rsid w:val="00EE1017"/>
    <w:rsid w:val="00F0296C"/>
    <w:rsid w:val="00F44022"/>
    <w:rsid w:val="00F656EB"/>
    <w:rsid w:val="00F658F6"/>
    <w:rsid w:val="00F836CF"/>
    <w:rsid w:val="00FC0EAB"/>
    <w:rsid w:val="031F7C8A"/>
    <w:rsid w:val="03B946C1"/>
    <w:rsid w:val="06DB61D9"/>
    <w:rsid w:val="09436A8B"/>
    <w:rsid w:val="096133B5"/>
    <w:rsid w:val="09DF3D68"/>
    <w:rsid w:val="0F3D7571"/>
    <w:rsid w:val="11433F8B"/>
    <w:rsid w:val="16106637"/>
    <w:rsid w:val="356B157C"/>
    <w:rsid w:val="36FF1C67"/>
    <w:rsid w:val="3C7C2B30"/>
    <w:rsid w:val="3CA75480"/>
    <w:rsid w:val="444D1E13"/>
    <w:rsid w:val="458958D3"/>
    <w:rsid w:val="462B1B2F"/>
    <w:rsid w:val="4792415F"/>
    <w:rsid w:val="52E820E2"/>
    <w:rsid w:val="55545B99"/>
    <w:rsid w:val="6B421874"/>
    <w:rsid w:val="6C3B65D2"/>
    <w:rsid w:val="6FD710B2"/>
    <w:rsid w:val="73DB0AB8"/>
    <w:rsid w:val="768F7AF6"/>
    <w:rsid w:val="769C0B42"/>
    <w:rsid w:val="773D2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B940D-F4CA-414F-825D-BCB7974AC4B7}">
  <ds:schemaRefs/>
</ds:datastoreItem>
</file>

<file path=docProps/app.xml><?xml version="1.0" encoding="utf-8"?>
<Properties xmlns="http://schemas.openxmlformats.org/officeDocument/2006/extended-properties" xmlns:vt="http://schemas.openxmlformats.org/officeDocument/2006/docPropsVTypes">
  <Template>Normal</Template>
  <Pages>14</Pages>
  <Words>10029</Words>
  <Characters>11757</Characters>
  <Lines>81</Lines>
  <Paragraphs>22</Paragraphs>
  <TotalTime>0</TotalTime>
  <ScaleCrop>false</ScaleCrop>
  <LinksUpToDate>false</LinksUpToDate>
  <CharactersWithSpaces>11896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2024-02-21T00:57:00Z</dcterms:created>
  <dc:creator>廷阳 程</dc:creator>
  <cp:lastModifiedBy>一支穿云箭</cp:lastModifiedBy>
  <dcterms:modified xsi:type="dcterms:W3CDTF">2024-06-29T01:51:22Z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689166F1C7B04CF784A415A3D86EB01C_13</vt:lpwstr>
  </property>
</Properties>
</file>