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1FA3">
      <w:pPr>
        <w:jc w:val="center"/>
        <w:rPr>
          <w:b/>
          <w:bCs/>
          <w:sz w:val="36"/>
          <w:szCs w:val="36"/>
        </w:rPr>
      </w:pPr>
      <w:r>
        <w:rPr>
          <w:rFonts w:hint="eastAsia"/>
          <w:b/>
          <w:bCs/>
          <w:sz w:val="36"/>
          <w:szCs w:val="36"/>
        </w:rPr>
        <w:t>崔庄煤矿覆岩充填注浆粉煤灰采购标准及要求</w:t>
      </w:r>
    </w:p>
    <w:p w14:paraId="1DABE3FB">
      <w:pPr>
        <w:jc w:val="center"/>
        <w:rPr>
          <w:b/>
          <w:bCs/>
          <w:sz w:val="36"/>
          <w:szCs w:val="36"/>
        </w:rPr>
      </w:pPr>
    </w:p>
    <w:p w14:paraId="4BB940A9">
      <w:pPr>
        <w:numPr>
          <w:ilvl w:val="0"/>
          <w:numId w:val="1"/>
        </w:numPr>
        <w:tabs>
          <w:tab w:val="left" w:pos="306"/>
        </w:tabs>
        <w:rPr>
          <w:rFonts w:ascii="宋体" w:hAnsi="宋体" w:eastAsia="宋体"/>
          <w:sz w:val="30"/>
          <w:szCs w:val="30"/>
        </w:rPr>
      </w:pPr>
      <w:r>
        <w:rPr>
          <w:rFonts w:hint="eastAsia" w:ascii="宋体" w:hAnsi="宋体" w:eastAsia="宋体"/>
          <w:sz w:val="30"/>
          <w:szCs w:val="30"/>
        </w:rPr>
        <w:t>质量要求</w:t>
      </w:r>
    </w:p>
    <w:p w14:paraId="6844A001">
      <w:pPr>
        <w:tabs>
          <w:tab w:val="left" w:pos="306"/>
        </w:tabs>
        <w:ind w:firstLine="600" w:firstLineChars="200"/>
        <w:rPr>
          <w:rFonts w:ascii="宋体" w:hAnsi="宋体" w:eastAsia="宋体"/>
          <w:sz w:val="30"/>
          <w:szCs w:val="30"/>
        </w:rPr>
      </w:pPr>
      <w:r>
        <w:rPr>
          <w:rFonts w:hint="eastAsia" w:ascii="宋体" w:hAnsi="宋体" w:eastAsia="宋体"/>
          <w:sz w:val="30"/>
          <w:szCs w:val="30"/>
        </w:rPr>
        <w:t>为保证崔庄煤矿覆岩充填注浆工程质量，注浆所用粉煤灰必须达到以下质量要求：</w:t>
      </w:r>
    </w:p>
    <w:p w14:paraId="2A94EAD8">
      <w:pPr>
        <w:tabs>
          <w:tab w:val="left" w:pos="306"/>
        </w:tabs>
        <w:rPr>
          <w:rFonts w:ascii="宋体" w:hAnsi="宋体" w:eastAsia="宋体"/>
          <w:sz w:val="30"/>
          <w:szCs w:val="30"/>
        </w:rPr>
      </w:pPr>
      <w:r>
        <w:rPr>
          <w:rFonts w:hint="eastAsia" w:ascii="宋体" w:hAnsi="宋体" w:eastAsia="宋体"/>
          <w:sz w:val="30"/>
          <w:szCs w:val="30"/>
        </w:rPr>
        <w:t>1.粉煤灰达到GB/T1596-2017中规定的C类Ⅱ级粉煤灰标准，</w:t>
      </w:r>
      <w:bookmarkStart w:id="0" w:name="_Hlk141953605"/>
      <w:r>
        <w:rPr>
          <w:rFonts w:hint="eastAsia" w:ascii="宋体" w:hAnsi="宋体" w:eastAsia="宋体"/>
          <w:sz w:val="30"/>
          <w:szCs w:val="30"/>
        </w:rPr>
        <w:t>具体要求如下（此处所述粉煤灰为单纯</w:t>
      </w:r>
      <w:r>
        <w:rPr>
          <w:rFonts w:ascii="宋体" w:hAnsi="宋体" w:eastAsia="宋体"/>
          <w:sz w:val="30"/>
          <w:szCs w:val="30"/>
        </w:rPr>
        <w:t>提供的</w:t>
      </w:r>
      <w:r>
        <w:rPr>
          <w:rFonts w:hint="eastAsia" w:ascii="宋体" w:hAnsi="宋体" w:eastAsia="宋体"/>
          <w:sz w:val="30"/>
          <w:szCs w:val="30"/>
        </w:rPr>
        <w:t>细灰</w:t>
      </w:r>
      <w:r>
        <w:rPr>
          <w:rFonts w:ascii="宋体" w:hAnsi="宋体" w:eastAsia="宋体"/>
          <w:sz w:val="30"/>
          <w:szCs w:val="30"/>
        </w:rPr>
        <w:t>、二级灰</w:t>
      </w:r>
      <w:r>
        <w:rPr>
          <w:rFonts w:hint="eastAsia" w:ascii="宋体" w:hAnsi="宋体" w:eastAsia="宋体"/>
          <w:sz w:val="30"/>
          <w:szCs w:val="30"/>
        </w:rPr>
        <w:t>或</w:t>
      </w:r>
      <w:r>
        <w:rPr>
          <w:rFonts w:ascii="宋体" w:hAnsi="宋体" w:eastAsia="宋体"/>
          <w:sz w:val="30"/>
          <w:szCs w:val="30"/>
        </w:rPr>
        <w:t>同时分别提供按</w:t>
      </w:r>
      <w:r>
        <w:rPr>
          <w:rFonts w:hint="eastAsia" w:ascii="宋体" w:hAnsi="宋体" w:eastAsia="宋体"/>
          <w:sz w:val="30"/>
          <w:szCs w:val="30"/>
        </w:rPr>
        <w:t>1：1的</w:t>
      </w:r>
      <w:r>
        <w:rPr>
          <w:rFonts w:ascii="宋体" w:hAnsi="宋体" w:eastAsia="宋体"/>
          <w:sz w:val="30"/>
          <w:szCs w:val="30"/>
        </w:rPr>
        <w:t>质量比的细灰和原灰</w:t>
      </w:r>
      <w:r>
        <w:rPr>
          <w:rFonts w:hint="eastAsia" w:ascii="宋体" w:hAnsi="宋体" w:eastAsia="宋体"/>
          <w:sz w:val="30"/>
          <w:szCs w:val="30"/>
        </w:rPr>
        <w:t>）：</w:t>
      </w:r>
    </w:p>
    <w:p w14:paraId="01323981">
      <w:pPr>
        <w:tabs>
          <w:tab w:val="left" w:pos="306"/>
        </w:tabs>
        <w:rPr>
          <w:rFonts w:ascii="宋体" w:hAnsi="宋体" w:eastAsia="宋体"/>
          <w:sz w:val="30"/>
          <w:szCs w:val="30"/>
        </w:rPr>
      </w:pPr>
      <w:r>
        <w:rPr>
          <w:rFonts w:hint="eastAsia" w:ascii="宋体" w:hAnsi="宋体" w:eastAsia="宋体"/>
          <w:sz w:val="30"/>
          <w:szCs w:val="30"/>
        </w:rPr>
        <w:t>（1）细度为≤30%。</w:t>
      </w:r>
    </w:p>
    <w:p w14:paraId="348A83E1">
      <w:pPr>
        <w:tabs>
          <w:tab w:val="left" w:pos="306"/>
        </w:tabs>
        <w:rPr>
          <w:rFonts w:ascii="宋体" w:hAnsi="宋体" w:eastAsia="宋体"/>
          <w:sz w:val="30"/>
          <w:szCs w:val="30"/>
        </w:rPr>
      </w:pPr>
      <w:r>
        <w:rPr>
          <w:rFonts w:hint="eastAsia" w:ascii="宋体" w:hAnsi="宋体" w:eastAsia="宋体"/>
          <w:sz w:val="30"/>
          <w:szCs w:val="30"/>
        </w:rPr>
        <w:t>（2）需水量比≤105%。</w:t>
      </w:r>
    </w:p>
    <w:p w14:paraId="1FBC9591">
      <w:pPr>
        <w:tabs>
          <w:tab w:val="left" w:pos="306"/>
        </w:tabs>
        <w:rPr>
          <w:rFonts w:ascii="宋体" w:hAnsi="宋体" w:eastAsia="宋体"/>
          <w:sz w:val="30"/>
          <w:szCs w:val="30"/>
        </w:rPr>
      </w:pPr>
      <w:r>
        <w:rPr>
          <w:rFonts w:hint="eastAsia" w:ascii="宋体" w:hAnsi="宋体" w:eastAsia="宋体"/>
          <w:sz w:val="30"/>
          <w:szCs w:val="30"/>
        </w:rPr>
        <w:t>（3）烧失量(Loss)≤8%。</w:t>
      </w:r>
    </w:p>
    <w:p w14:paraId="65DA8258">
      <w:pPr>
        <w:tabs>
          <w:tab w:val="left" w:pos="306"/>
        </w:tabs>
        <w:rPr>
          <w:rFonts w:ascii="宋体" w:hAnsi="宋体" w:eastAsia="宋体"/>
          <w:sz w:val="30"/>
          <w:szCs w:val="30"/>
        </w:rPr>
      </w:pPr>
      <w:r>
        <w:rPr>
          <w:rFonts w:hint="eastAsia" w:ascii="宋体" w:hAnsi="宋体" w:eastAsia="宋体"/>
          <w:sz w:val="30"/>
          <w:szCs w:val="30"/>
        </w:rPr>
        <w:t>（4）含水量≤1%。</w:t>
      </w:r>
    </w:p>
    <w:p w14:paraId="3E7299A8">
      <w:pPr>
        <w:tabs>
          <w:tab w:val="left" w:pos="306"/>
        </w:tabs>
        <w:rPr>
          <w:rFonts w:ascii="宋体" w:hAnsi="宋体" w:eastAsia="宋体"/>
          <w:sz w:val="30"/>
          <w:szCs w:val="30"/>
        </w:rPr>
      </w:pPr>
      <w:r>
        <w:rPr>
          <w:rFonts w:hint="eastAsia" w:ascii="宋体" w:hAnsi="宋体" w:eastAsia="宋体"/>
          <w:sz w:val="30"/>
          <w:szCs w:val="30"/>
        </w:rPr>
        <w:t>（5）三氧化硫(SO3)质量分数≤3%。</w:t>
      </w:r>
    </w:p>
    <w:p w14:paraId="7A91C059">
      <w:pPr>
        <w:tabs>
          <w:tab w:val="left" w:pos="306"/>
        </w:tabs>
        <w:rPr>
          <w:rFonts w:ascii="宋体" w:hAnsi="宋体" w:eastAsia="宋体"/>
          <w:sz w:val="30"/>
          <w:szCs w:val="30"/>
        </w:rPr>
      </w:pPr>
      <w:r>
        <w:rPr>
          <w:rFonts w:hint="eastAsia" w:ascii="宋体" w:hAnsi="宋体" w:eastAsia="宋体"/>
          <w:sz w:val="30"/>
          <w:szCs w:val="30"/>
        </w:rPr>
        <w:t>（6）游离氧化钙(f-CaO)质量分数≤4%。</w:t>
      </w:r>
    </w:p>
    <w:p w14:paraId="34773739">
      <w:pPr>
        <w:tabs>
          <w:tab w:val="left" w:pos="306"/>
        </w:tabs>
        <w:rPr>
          <w:rFonts w:ascii="宋体" w:hAnsi="宋体" w:eastAsia="宋体"/>
          <w:sz w:val="30"/>
          <w:szCs w:val="30"/>
        </w:rPr>
      </w:pPr>
      <w:r>
        <w:rPr>
          <w:rFonts w:hint="eastAsia" w:ascii="宋体" w:hAnsi="宋体" w:eastAsia="宋体"/>
          <w:sz w:val="30"/>
          <w:szCs w:val="30"/>
        </w:rPr>
        <w:t>（7）二氧化硅(SiO2)三氧化二铝(AI203 和三氧化二铁(Fe203 总质量分数大于等于50%.</w:t>
      </w:r>
    </w:p>
    <w:p w14:paraId="369BDEAB">
      <w:pPr>
        <w:tabs>
          <w:tab w:val="left" w:pos="306"/>
        </w:tabs>
        <w:rPr>
          <w:rFonts w:ascii="宋体" w:hAnsi="宋体" w:eastAsia="宋体"/>
          <w:sz w:val="30"/>
          <w:szCs w:val="30"/>
        </w:rPr>
      </w:pPr>
      <w:r>
        <w:rPr>
          <w:rFonts w:hint="eastAsia" w:ascii="宋体" w:hAnsi="宋体" w:eastAsia="宋体"/>
          <w:sz w:val="30"/>
          <w:szCs w:val="30"/>
        </w:rPr>
        <w:t>（8）密度/(g/cm</w:t>
      </w:r>
      <w:r>
        <w:rPr>
          <w:rFonts w:hint="eastAsia" w:ascii="宋体" w:hAnsi="宋体" w:eastAsia="宋体"/>
          <w:sz w:val="30"/>
          <w:szCs w:val="30"/>
          <w:vertAlign w:val="superscript"/>
        </w:rPr>
        <w:t>2</w:t>
      </w:r>
      <w:r>
        <w:rPr>
          <w:rFonts w:hint="eastAsia" w:ascii="宋体" w:hAnsi="宋体" w:eastAsia="宋体"/>
          <w:sz w:val="30"/>
          <w:szCs w:val="30"/>
        </w:rPr>
        <w:t>)≤2.6。</w:t>
      </w:r>
    </w:p>
    <w:p w14:paraId="25D979E4">
      <w:pPr>
        <w:tabs>
          <w:tab w:val="left" w:pos="306"/>
        </w:tabs>
        <w:rPr>
          <w:rFonts w:ascii="宋体" w:hAnsi="宋体" w:eastAsia="宋体"/>
          <w:sz w:val="30"/>
          <w:szCs w:val="30"/>
        </w:rPr>
      </w:pPr>
      <w:r>
        <w:rPr>
          <w:rFonts w:hint="eastAsia" w:ascii="宋体" w:hAnsi="宋体" w:eastAsia="宋体"/>
          <w:sz w:val="30"/>
          <w:szCs w:val="30"/>
        </w:rPr>
        <w:t>（9）安定性(雷氏法)≤5(mm)。</w:t>
      </w:r>
    </w:p>
    <w:p w14:paraId="44CC1F20">
      <w:pPr>
        <w:tabs>
          <w:tab w:val="left" w:pos="306"/>
        </w:tabs>
        <w:rPr>
          <w:rFonts w:ascii="宋体" w:hAnsi="宋体" w:eastAsia="宋体"/>
          <w:sz w:val="30"/>
          <w:szCs w:val="30"/>
        </w:rPr>
      </w:pPr>
      <w:r>
        <w:rPr>
          <w:rFonts w:hint="eastAsia" w:ascii="宋体" w:hAnsi="宋体" w:eastAsia="宋体"/>
          <w:sz w:val="30"/>
          <w:szCs w:val="30"/>
        </w:rPr>
        <w:t>（10）强度活性指数≤70%。</w:t>
      </w:r>
    </w:p>
    <w:bookmarkEnd w:id="0"/>
    <w:p w14:paraId="572D9F9E">
      <w:pPr>
        <w:tabs>
          <w:tab w:val="left" w:pos="306"/>
        </w:tabs>
        <w:ind w:firstLine="600" w:firstLineChars="200"/>
        <w:rPr>
          <w:rFonts w:ascii="宋体" w:hAnsi="宋体" w:eastAsia="宋体"/>
          <w:sz w:val="30"/>
          <w:szCs w:val="30"/>
        </w:rPr>
      </w:pPr>
      <w:r>
        <w:rPr>
          <w:rFonts w:hint="eastAsia" w:ascii="宋体" w:hAnsi="宋体" w:eastAsia="宋体"/>
          <w:sz w:val="30"/>
          <w:szCs w:val="30"/>
        </w:rPr>
        <w:t>为保障注浆工作的连续性，除对细度、需水量比、烧失量、密度以上四项为必须达标项外，其余项不再做硬性要求。</w:t>
      </w:r>
    </w:p>
    <w:p w14:paraId="4753E9F7">
      <w:pPr>
        <w:tabs>
          <w:tab w:val="left" w:pos="306"/>
        </w:tabs>
        <w:rPr>
          <w:rFonts w:ascii="宋体" w:hAnsi="宋体" w:eastAsia="宋体"/>
          <w:sz w:val="30"/>
          <w:szCs w:val="30"/>
        </w:rPr>
      </w:pPr>
      <w:r>
        <w:rPr>
          <w:rFonts w:hint="eastAsia" w:ascii="宋体" w:hAnsi="宋体" w:eastAsia="宋体"/>
          <w:sz w:val="30"/>
          <w:szCs w:val="30"/>
        </w:rPr>
        <w:t>2.必须满足现场使用要求，具体如下：</w:t>
      </w:r>
    </w:p>
    <w:p w14:paraId="38794A1A">
      <w:pPr>
        <w:tabs>
          <w:tab w:val="left" w:pos="306"/>
        </w:tabs>
        <w:rPr>
          <w:rFonts w:ascii="宋体" w:hAnsi="宋体" w:eastAsia="宋体"/>
          <w:sz w:val="30"/>
          <w:szCs w:val="30"/>
        </w:rPr>
      </w:pPr>
      <w:r>
        <w:rPr>
          <w:rFonts w:hint="eastAsia" w:ascii="宋体" w:hAnsi="宋体" w:eastAsia="宋体"/>
          <w:sz w:val="30"/>
          <w:szCs w:val="30"/>
        </w:rPr>
        <w:t>（1）观测</w:t>
      </w:r>
    </w:p>
    <w:p w14:paraId="67E3F683">
      <w:pPr>
        <w:tabs>
          <w:tab w:val="left" w:pos="306"/>
        </w:tabs>
        <w:ind w:firstLine="300" w:firstLineChars="100"/>
        <w:rPr>
          <w:rFonts w:ascii="宋体" w:hAnsi="宋体" w:eastAsia="宋体"/>
          <w:sz w:val="30"/>
          <w:szCs w:val="30"/>
        </w:rPr>
      </w:pPr>
      <w:r>
        <w:rPr>
          <w:rFonts w:hint="eastAsia" w:ascii="宋体" w:hAnsi="宋体" w:eastAsia="宋体"/>
          <w:sz w:val="30"/>
          <w:szCs w:val="30"/>
        </w:rPr>
        <w:t xml:space="preserve">  浆液拌合后浮油较大，细度不达标、有明显颗粒感，颜色深红色、稠度大流动性小等，均直接判断为不合格灰。</w:t>
      </w:r>
    </w:p>
    <w:p w14:paraId="2F648E9D">
      <w:pPr>
        <w:numPr>
          <w:ilvl w:val="0"/>
          <w:numId w:val="2"/>
        </w:numPr>
        <w:tabs>
          <w:tab w:val="left" w:pos="306"/>
        </w:tabs>
        <w:rPr>
          <w:rFonts w:ascii="宋体" w:hAnsi="宋体" w:eastAsia="宋体"/>
          <w:color w:val="000000" w:themeColor="text1"/>
          <w:sz w:val="30"/>
          <w:szCs w:val="30"/>
        </w:rPr>
      </w:pPr>
      <w:r>
        <w:rPr>
          <w:rFonts w:hint="eastAsia" w:ascii="宋体" w:hAnsi="宋体" w:eastAsia="宋体"/>
          <w:color w:val="000000" w:themeColor="text1"/>
          <w:sz w:val="30"/>
          <w:szCs w:val="30"/>
        </w:rPr>
        <w:t>取样试验检测，供应商在粉煤灰竞标阶段，送至验台检测的灰样，其比重、结石率均必须满足下表要求内指标：</w:t>
      </w:r>
    </w:p>
    <w:tbl>
      <w:tblPr>
        <w:tblStyle w:val="4"/>
        <w:tblW w:w="8370" w:type="dxa"/>
        <w:tblInd w:w="98" w:type="dxa"/>
        <w:tblLayout w:type="fixed"/>
        <w:tblCellMar>
          <w:top w:w="0" w:type="dxa"/>
          <w:left w:w="108" w:type="dxa"/>
          <w:bottom w:w="0" w:type="dxa"/>
          <w:right w:w="108" w:type="dxa"/>
        </w:tblCellMar>
      </w:tblPr>
      <w:tblGrid>
        <w:gridCol w:w="990"/>
        <w:gridCol w:w="1082"/>
        <w:gridCol w:w="1107"/>
        <w:gridCol w:w="1000"/>
        <w:gridCol w:w="1851"/>
        <w:gridCol w:w="1266"/>
        <w:gridCol w:w="1074"/>
      </w:tblGrid>
      <w:tr w14:paraId="557E32BF">
        <w:tblPrEx>
          <w:tblCellMar>
            <w:top w:w="0" w:type="dxa"/>
            <w:left w:w="108" w:type="dxa"/>
            <w:bottom w:w="0" w:type="dxa"/>
            <w:right w:w="108" w:type="dxa"/>
          </w:tblCellMar>
        </w:tblPrEx>
        <w:trPr>
          <w:trHeight w:val="33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6E709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种类</w:t>
            </w:r>
          </w:p>
        </w:tc>
        <w:tc>
          <w:tcPr>
            <w:tcW w:w="10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8040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水固比</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A9CE02">
            <w:pPr>
              <w:widowControl/>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水</w:t>
            </w:r>
          </w:p>
          <w:p w14:paraId="6FF372F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（g）</w:t>
            </w:r>
          </w:p>
        </w:tc>
        <w:tc>
          <w:tcPr>
            <w:tcW w:w="1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3C712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粉煤灰</w:t>
            </w:r>
            <w:r>
              <w:rPr>
                <w:rFonts w:hint="default" w:ascii="Times New Roman" w:hAnsi="Times New Roman" w:eastAsia="宋体" w:cs="Times New Roman"/>
                <w:color w:val="000000"/>
                <w:kern w:val="0"/>
                <w:szCs w:val="21"/>
              </w:rPr>
              <w:br w:type="textWrapping"/>
            </w:r>
            <w:r>
              <w:rPr>
                <w:rFonts w:hint="default" w:ascii="Times New Roman" w:hAnsi="Times New Roman" w:eastAsia="宋体" w:cs="Times New Roman"/>
                <w:color w:val="000000"/>
                <w:kern w:val="0"/>
                <w:szCs w:val="21"/>
              </w:rPr>
              <w:t>(g)</w:t>
            </w:r>
          </w:p>
        </w:tc>
        <w:tc>
          <w:tcPr>
            <w:tcW w:w="1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D7C11E">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比重（g/cm</w:t>
            </w:r>
            <w:r>
              <w:rPr>
                <w:rFonts w:hint="default" w:ascii="Times New Roman" w:hAnsi="Times New Roman" w:eastAsia="宋体" w:cs="Times New Roman"/>
                <w:color w:val="000000"/>
                <w:kern w:val="0"/>
                <w:szCs w:val="21"/>
                <w:vertAlign w:val="superscript"/>
              </w:rPr>
              <w:t>3</w:t>
            </w:r>
            <w:r>
              <w:rPr>
                <w:rFonts w:hint="default" w:ascii="Times New Roman" w:hAnsi="Times New Roman" w:eastAsia="宋体" w:cs="Times New Roman"/>
                <w:color w:val="000000"/>
                <w:kern w:val="0"/>
                <w:szCs w:val="21"/>
              </w:rPr>
              <w:t>）</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BE477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结石率（%）</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C099A3">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稳定时长</w:t>
            </w:r>
            <w:r>
              <w:rPr>
                <w:rFonts w:hint="default" w:ascii="Times New Roman" w:hAnsi="Times New Roman" w:eastAsia="宋体" w:cs="Times New Roman"/>
                <w:color w:val="000000"/>
                <w:kern w:val="0"/>
                <w:szCs w:val="21"/>
              </w:rPr>
              <w:br w:type="textWrapping"/>
            </w:r>
            <w:r>
              <w:rPr>
                <w:rFonts w:hint="default" w:ascii="Times New Roman" w:hAnsi="Times New Roman" w:eastAsia="宋体" w:cs="Times New Roman"/>
                <w:color w:val="000000"/>
                <w:kern w:val="0"/>
                <w:szCs w:val="21"/>
              </w:rPr>
              <w:t>（h)</w:t>
            </w:r>
          </w:p>
        </w:tc>
      </w:tr>
      <w:tr w14:paraId="1CAAE872">
        <w:tblPrEx>
          <w:tblCellMar>
            <w:top w:w="0" w:type="dxa"/>
            <w:left w:w="108" w:type="dxa"/>
            <w:bottom w:w="0" w:type="dxa"/>
            <w:right w:w="108" w:type="dxa"/>
          </w:tblCellMar>
        </w:tblPrEx>
        <w:trPr>
          <w:trHeight w:val="312"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8FA50F">
            <w:pPr>
              <w:jc w:val="center"/>
              <w:rPr>
                <w:rFonts w:hint="default" w:ascii="Times New Roman" w:hAnsi="Times New Roman" w:eastAsia="宋体" w:cs="Times New Roman"/>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AB577B">
            <w:pPr>
              <w:jc w:val="center"/>
              <w:rPr>
                <w:rFonts w:hint="default" w:ascii="Times New Roman" w:hAnsi="Times New Roman" w:eastAsia="宋体" w:cs="Times New Roman"/>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99F75E">
            <w:pPr>
              <w:jc w:val="center"/>
              <w:rPr>
                <w:rFonts w:hint="default" w:ascii="Times New Roman" w:hAnsi="Times New Roman" w:eastAsia="宋体" w:cs="Times New Roman"/>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9E914">
            <w:pPr>
              <w:jc w:val="center"/>
              <w:rPr>
                <w:rFonts w:hint="default" w:ascii="Times New Roman" w:hAnsi="Times New Roman" w:eastAsia="宋体" w:cs="Times New Roman"/>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9105BB">
            <w:pPr>
              <w:jc w:val="center"/>
              <w:rPr>
                <w:rFonts w:hint="default" w:ascii="Times New Roman" w:hAnsi="Times New Roman" w:eastAsia="宋体" w:cs="Times New Roman"/>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9FA4E8">
            <w:pPr>
              <w:jc w:val="center"/>
              <w:rPr>
                <w:rFonts w:hint="default" w:ascii="Times New Roman" w:hAnsi="Times New Roman" w:eastAsia="宋体" w:cs="Times New Roman"/>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E1B2B6">
            <w:pPr>
              <w:jc w:val="center"/>
              <w:rPr>
                <w:rFonts w:hint="default" w:ascii="Times New Roman" w:hAnsi="Times New Roman" w:eastAsia="宋体" w:cs="Times New Roman"/>
                <w:color w:val="000000"/>
                <w:szCs w:val="21"/>
              </w:rPr>
            </w:pPr>
          </w:p>
        </w:tc>
      </w:tr>
      <w:tr w14:paraId="217DF97C">
        <w:tblPrEx>
          <w:tblCellMar>
            <w:top w:w="0" w:type="dxa"/>
            <w:left w:w="108" w:type="dxa"/>
            <w:bottom w:w="0" w:type="dxa"/>
            <w:right w:w="108" w:type="dxa"/>
          </w:tblCellMar>
        </w:tblPrEx>
        <w:trPr>
          <w:trHeight w:val="31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EDBC47">
            <w:pPr>
              <w:jc w:val="center"/>
              <w:rPr>
                <w:rFonts w:hint="default" w:ascii="Times New Roman" w:hAnsi="Times New Roman" w:eastAsia="宋体" w:cs="Times New Roman"/>
                <w:color w:val="000000"/>
                <w:szCs w:val="21"/>
              </w:rPr>
            </w:pPr>
          </w:p>
        </w:tc>
        <w:tc>
          <w:tcPr>
            <w:tcW w:w="10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298DD">
            <w:pPr>
              <w:jc w:val="center"/>
              <w:rPr>
                <w:rFonts w:hint="default" w:ascii="Times New Roman" w:hAnsi="Times New Roman" w:eastAsia="宋体" w:cs="Times New Roman"/>
                <w:color w:val="000000"/>
                <w:szCs w:val="21"/>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A95977">
            <w:pPr>
              <w:jc w:val="center"/>
              <w:rPr>
                <w:rFonts w:hint="default" w:ascii="Times New Roman" w:hAnsi="Times New Roman" w:eastAsia="宋体" w:cs="Times New Roman"/>
                <w:color w:val="000000"/>
                <w:szCs w:val="21"/>
              </w:rPr>
            </w:pPr>
          </w:p>
        </w:tc>
        <w:tc>
          <w:tcPr>
            <w:tcW w:w="1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398C3D">
            <w:pPr>
              <w:jc w:val="center"/>
              <w:rPr>
                <w:rFonts w:hint="default" w:ascii="Times New Roman" w:hAnsi="Times New Roman" w:eastAsia="宋体" w:cs="Times New Roman"/>
                <w:color w:val="000000"/>
                <w:szCs w:val="21"/>
              </w:rPr>
            </w:pPr>
          </w:p>
        </w:tc>
        <w:tc>
          <w:tcPr>
            <w:tcW w:w="18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88AF60">
            <w:pPr>
              <w:jc w:val="center"/>
              <w:rPr>
                <w:rFonts w:hint="default" w:ascii="Times New Roman" w:hAnsi="Times New Roman" w:eastAsia="宋体" w:cs="Times New Roman"/>
                <w:color w:val="000000"/>
                <w:szCs w:val="21"/>
              </w:rPr>
            </w:pP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4A4AF">
            <w:pPr>
              <w:jc w:val="center"/>
              <w:rPr>
                <w:rFonts w:hint="default" w:ascii="Times New Roman" w:hAnsi="Times New Roman" w:eastAsia="宋体" w:cs="Times New Roman"/>
                <w:color w:val="000000"/>
                <w:szCs w:val="21"/>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082B7A">
            <w:pPr>
              <w:jc w:val="center"/>
              <w:rPr>
                <w:rFonts w:hint="default" w:ascii="Times New Roman" w:hAnsi="Times New Roman" w:eastAsia="宋体" w:cs="Times New Roman"/>
                <w:color w:val="000000"/>
                <w:szCs w:val="21"/>
              </w:rPr>
            </w:pPr>
          </w:p>
        </w:tc>
      </w:tr>
      <w:tr w14:paraId="3807976B">
        <w:tblPrEx>
          <w:tblCellMar>
            <w:top w:w="0" w:type="dxa"/>
            <w:left w:w="108" w:type="dxa"/>
            <w:bottom w:w="0" w:type="dxa"/>
            <w:right w:w="108" w:type="dxa"/>
          </w:tblCellMar>
        </w:tblPrEx>
        <w:trPr>
          <w:trHeight w:val="7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E2A3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原灰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B509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E716C">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CD10">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851B8">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1.26—1.40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9B3B9">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65-80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3E28841B">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r w14:paraId="35AB46C4">
        <w:tblPrEx>
          <w:tblCellMar>
            <w:top w:w="0" w:type="dxa"/>
            <w:left w:w="108" w:type="dxa"/>
            <w:bottom w:w="0" w:type="dxa"/>
            <w:right w:w="108" w:type="dxa"/>
          </w:tblCellMar>
        </w:tblPrEx>
        <w:trPr>
          <w:trHeight w:val="68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E5346">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细灰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0D5FC">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83CA4">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2A14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87A8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1.36—1.41</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BFCC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75-88</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11CCAEDF">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r w14:paraId="13EE61C8">
        <w:tblPrEx>
          <w:tblCellMar>
            <w:top w:w="0" w:type="dxa"/>
            <w:left w:w="108" w:type="dxa"/>
            <w:bottom w:w="0" w:type="dxa"/>
            <w:right w:w="108" w:type="dxa"/>
          </w:tblCellMar>
        </w:tblPrEx>
        <w:trPr>
          <w:trHeight w:val="70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1C2B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二级灰</w:t>
            </w:r>
          </w:p>
        </w:tc>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EC3FF">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BB03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09D71">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200</w:t>
            </w:r>
          </w:p>
        </w:tc>
        <w:tc>
          <w:tcPr>
            <w:tcW w:w="1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783E6">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1.31—1.40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9E302">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70-84</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14:paraId="12B54D55">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3—5</w:t>
            </w:r>
          </w:p>
        </w:tc>
      </w:tr>
    </w:tbl>
    <w:p w14:paraId="10FB0C89">
      <w:pPr>
        <w:tabs>
          <w:tab w:val="left" w:pos="306"/>
        </w:tabs>
        <w:rPr>
          <w:rFonts w:ascii="宋体" w:hAnsi="宋体" w:eastAsia="宋体"/>
          <w:sz w:val="30"/>
          <w:szCs w:val="30"/>
        </w:rPr>
      </w:pPr>
      <w:r>
        <w:rPr>
          <w:rFonts w:hint="eastAsia" w:ascii="宋体" w:hAnsi="宋体" w:eastAsia="宋体"/>
          <w:sz w:val="30"/>
          <w:szCs w:val="30"/>
        </w:rPr>
        <w:t>（3）检测流程</w:t>
      </w:r>
    </w:p>
    <w:p w14:paraId="518EDAA5">
      <w:pPr>
        <w:tabs>
          <w:tab w:val="left" w:pos="306"/>
        </w:tabs>
        <w:rPr>
          <w:rFonts w:ascii="宋体" w:hAnsi="宋体" w:eastAsia="宋体"/>
          <w:sz w:val="30"/>
          <w:szCs w:val="30"/>
        </w:rPr>
      </w:pPr>
      <w:r>
        <w:rPr>
          <w:rFonts w:hint="eastAsia" w:ascii="宋体" w:hAnsi="宋体" w:eastAsia="宋体"/>
          <w:sz w:val="30"/>
          <w:szCs w:val="30"/>
        </w:rPr>
        <w:t>①司机进场后，停在浆站东西路上，在监控及收料人员见证取样，向收料人员出示正式电厂出厂过磅单，无法提供正式电厂出厂过磅单或磅单造假的的一律作退场处理，不予检测。</w:t>
      </w:r>
    </w:p>
    <w:p w14:paraId="7875EA4A">
      <w:pPr>
        <w:tabs>
          <w:tab w:val="left" w:pos="306"/>
        </w:tabs>
        <w:rPr>
          <w:rFonts w:ascii="宋体" w:hAnsi="宋体" w:eastAsia="宋体"/>
          <w:sz w:val="30"/>
          <w:szCs w:val="30"/>
        </w:rPr>
      </w:pPr>
      <w:r>
        <w:rPr>
          <w:rFonts w:hint="eastAsia" w:ascii="宋体" w:hAnsi="宋体" w:eastAsia="宋体"/>
          <w:sz w:val="30"/>
          <w:szCs w:val="30"/>
        </w:rPr>
        <w:t>②司机见证现场技术人员配置浆液，经现场技术人员对粉煤灰样品及浆液认定合格后开具准入单。粉煤灰质量不合格者，立即离场，避免对浆站车辆调度造成干扰。若对现场技术人员检测结果存在分歧，由现场技术人员和供应公司人员按照标准流程各做两次，取四次检测结果的平均值作为最终检测结果，判定是否进场。</w:t>
      </w:r>
    </w:p>
    <w:p w14:paraId="13D4AAEE">
      <w:pPr>
        <w:tabs>
          <w:tab w:val="left" w:pos="306"/>
        </w:tabs>
        <w:rPr>
          <w:rFonts w:ascii="宋体" w:hAnsi="宋体" w:eastAsia="宋体"/>
          <w:sz w:val="30"/>
          <w:szCs w:val="30"/>
        </w:rPr>
      </w:pPr>
      <w:r>
        <w:rPr>
          <w:rFonts w:hint="eastAsia" w:ascii="宋体" w:hAnsi="宋体" w:eastAsia="宋体"/>
          <w:sz w:val="30"/>
          <w:szCs w:val="30"/>
        </w:rPr>
        <w:t>③司机将准入单交矿方保卫人员并经同意后方可上磅，并同甲方过磅人员确认是否完成称重后，方可下磅。</w:t>
      </w:r>
    </w:p>
    <w:p w14:paraId="1C77B5AB">
      <w:pPr>
        <w:tabs>
          <w:tab w:val="left" w:pos="306"/>
        </w:tabs>
        <w:rPr>
          <w:rFonts w:hint="eastAsia" w:ascii="宋体" w:hAnsi="宋体" w:eastAsia="宋体"/>
          <w:sz w:val="30"/>
          <w:szCs w:val="30"/>
        </w:rPr>
      </w:pPr>
    </w:p>
    <w:p w14:paraId="002F2AD1">
      <w:pPr>
        <w:tabs>
          <w:tab w:val="left" w:pos="306"/>
        </w:tabs>
        <w:rPr>
          <w:rFonts w:ascii="宋体" w:hAnsi="宋体" w:eastAsia="宋体"/>
          <w:sz w:val="30"/>
          <w:szCs w:val="30"/>
        </w:rPr>
      </w:pPr>
      <w:r>
        <w:rPr>
          <w:rFonts w:hint="eastAsia" w:ascii="宋体" w:hAnsi="宋体" w:eastAsia="宋体"/>
          <w:sz w:val="30"/>
          <w:szCs w:val="30"/>
        </w:rPr>
        <w:t>二、</w:t>
      </w:r>
      <w:r>
        <w:rPr>
          <w:rFonts w:ascii="宋体" w:hAnsi="宋体" w:eastAsia="宋体"/>
          <w:sz w:val="30"/>
          <w:szCs w:val="30"/>
        </w:rPr>
        <w:t>粉煤灰称重及打料注意事项</w:t>
      </w:r>
    </w:p>
    <w:p w14:paraId="5A1E75B3">
      <w:pPr>
        <w:tabs>
          <w:tab w:val="left" w:pos="306"/>
        </w:tabs>
        <w:rPr>
          <w:rFonts w:ascii="宋体" w:hAnsi="宋体" w:eastAsia="宋体"/>
          <w:sz w:val="30"/>
          <w:szCs w:val="30"/>
        </w:rPr>
      </w:pPr>
      <w:r>
        <w:rPr>
          <w:rFonts w:hint="eastAsia" w:ascii="宋体" w:hAnsi="宋体" w:eastAsia="宋体"/>
          <w:sz w:val="30"/>
          <w:szCs w:val="30"/>
        </w:rPr>
        <w:t>1.</w:t>
      </w:r>
      <w:r>
        <w:rPr>
          <w:rFonts w:ascii="宋体" w:hAnsi="宋体" w:eastAsia="宋体"/>
          <w:sz w:val="30"/>
          <w:szCs w:val="30"/>
        </w:rPr>
        <w:t>称重注意事项</w:t>
      </w:r>
    </w:p>
    <w:p w14:paraId="7DE50F40">
      <w:pPr>
        <w:tabs>
          <w:tab w:val="left" w:pos="306"/>
        </w:tabs>
        <w:ind w:firstLine="600" w:firstLineChars="200"/>
        <w:rPr>
          <w:rFonts w:ascii="宋体" w:hAnsi="宋体" w:eastAsia="宋体"/>
          <w:sz w:val="30"/>
          <w:szCs w:val="30"/>
        </w:rPr>
      </w:pPr>
      <w:r>
        <w:rPr>
          <w:rFonts w:ascii="宋体" w:hAnsi="宋体" w:eastAsia="宋体"/>
          <w:sz w:val="30"/>
          <w:szCs w:val="30"/>
        </w:rPr>
        <w:t>散料罐车上磅及下磅时，</w:t>
      </w:r>
      <w:r>
        <w:rPr>
          <w:rFonts w:hint="eastAsia" w:ascii="宋体" w:hAnsi="宋体" w:eastAsia="宋体"/>
          <w:sz w:val="30"/>
          <w:szCs w:val="30"/>
        </w:rPr>
        <w:t>由于</w:t>
      </w:r>
      <w:r>
        <w:rPr>
          <w:rFonts w:ascii="宋体" w:hAnsi="宋体" w:eastAsia="宋体"/>
          <w:sz w:val="30"/>
          <w:szCs w:val="30"/>
        </w:rPr>
        <w:t>场地紧凑，人员较多，注意观测周边情况，控制行车方向及速度，避免碰墙、伤人及偏压磅，确保安全</w:t>
      </w:r>
      <w:r>
        <w:rPr>
          <w:rFonts w:hint="eastAsia" w:ascii="宋体" w:hAnsi="宋体" w:eastAsia="宋体"/>
          <w:sz w:val="30"/>
          <w:szCs w:val="30"/>
        </w:rPr>
        <w:t>。对造成浆站设备、设施损毁的照价赔偿或恢复原状。</w:t>
      </w:r>
    </w:p>
    <w:p w14:paraId="68F23987">
      <w:pPr>
        <w:tabs>
          <w:tab w:val="left" w:pos="306"/>
        </w:tabs>
        <w:rPr>
          <w:rFonts w:ascii="宋体" w:hAnsi="宋体" w:eastAsia="宋体"/>
          <w:sz w:val="30"/>
          <w:szCs w:val="30"/>
        </w:rPr>
      </w:pPr>
      <w:r>
        <w:rPr>
          <w:rFonts w:hint="eastAsia" w:ascii="宋体" w:hAnsi="宋体" w:eastAsia="宋体"/>
          <w:sz w:val="30"/>
          <w:szCs w:val="30"/>
        </w:rPr>
        <w:t>2.打料注意事项</w:t>
      </w:r>
    </w:p>
    <w:tbl>
      <w:tblPr>
        <w:tblStyle w:val="4"/>
        <w:tblW w:w="8625" w:type="dxa"/>
        <w:tblInd w:w="93" w:type="dxa"/>
        <w:tblLayout w:type="autofit"/>
        <w:tblCellMar>
          <w:top w:w="0" w:type="dxa"/>
          <w:left w:w="108" w:type="dxa"/>
          <w:bottom w:w="0" w:type="dxa"/>
          <w:right w:w="108" w:type="dxa"/>
        </w:tblCellMar>
      </w:tblPr>
      <w:tblGrid>
        <w:gridCol w:w="945"/>
        <w:gridCol w:w="765"/>
        <w:gridCol w:w="4785"/>
        <w:gridCol w:w="2130"/>
      </w:tblGrid>
      <w:tr w14:paraId="44BEF694">
        <w:tblPrEx>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A302">
            <w:pPr>
              <w:widowControl/>
              <w:jc w:val="center"/>
              <w:textAlignment w:val="center"/>
              <w:rPr>
                <w:rFonts w:ascii="宋体" w:hAnsi="宋体" w:eastAsia="宋体"/>
                <w:color w:val="000000"/>
                <w:sz w:val="22"/>
              </w:rPr>
            </w:pPr>
            <w:r>
              <w:rPr>
                <w:rFonts w:hint="eastAsia" w:ascii="宋体" w:hAnsi="宋体" w:eastAsia="宋体"/>
                <w:color w:val="000000"/>
                <w:kern w:val="0"/>
                <w:sz w:val="22"/>
              </w:rPr>
              <w:t>流程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8DA6">
            <w:pPr>
              <w:widowControl/>
              <w:jc w:val="center"/>
              <w:textAlignment w:val="center"/>
              <w:rPr>
                <w:rFonts w:ascii="宋体" w:hAnsi="宋体" w:eastAsia="宋体"/>
                <w:color w:val="000000"/>
                <w:sz w:val="22"/>
              </w:rPr>
            </w:pPr>
            <w:r>
              <w:rPr>
                <w:rFonts w:hint="eastAsia" w:ascii="宋体" w:hAnsi="宋体" w:eastAsia="宋体"/>
                <w:color w:val="000000"/>
                <w:kern w:val="0"/>
                <w:sz w:val="22"/>
              </w:rPr>
              <w:t>房号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31AA">
            <w:pPr>
              <w:widowControl/>
              <w:jc w:val="center"/>
              <w:textAlignment w:val="center"/>
              <w:rPr>
                <w:rFonts w:ascii="宋体" w:hAnsi="宋体" w:eastAsia="宋体"/>
                <w:color w:val="000000"/>
                <w:sz w:val="22"/>
              </w:rPr>
            </w:pPr>
            <w:r>
              <w:rPr>
                <w:rFonts w:hint="eastAsia" w:ascii="宋体" w:hAnsi="宋体" w:eastAsia="宋体"/>
                <w:color w:val="000000"/>
                <w:kern w:val="0"/>
                <w:sz w:val="22"/>
              </w:rPr>
              <w:t>注意事项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5870">
            <w:pPr>
              <w:widowControl/>
              <w:jc w:val="center"/>
              <w:textAlignment w:val="center"/>
              <w:rPr>
                <w:rFonts w:ascii="宋体" w:hAnsi="宋体" w:eastAsia="宋体"/>
                <w:color w:val="000000"/>
                <w:sz w:val="22"/>
              </w:rPr>
            </w:pPr>
            <w:r>
              <w:rPr>
                <w:rFonts w:hint="eastAsia" w:ascii="宋体" w:hAnsi="宋体" w:eastAsia="宋体"/>
                <w:color w:val="000000"/>
                <w:kern w:val="0"/>
                <w:sz w:val="22"/>
              </w:rPr>
              <w:t>违规处置</w:t>
            </w:r>
          </w:p>
        </w:tc>
      </w:tr>
      <w:tr w14:paraId="77EDB47B">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19E3">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532">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F88">
            <w:pPr>
              <w:widowControl/>
              <w:jc w:val="left"/>
              <w:textAlignment w:val="center"/>
              <w:rPr>
                <w:rFonts w:ascii="宋体" w:hAnsi="宋体" w:eastAsia="宋体"/>
                <w:color w:val="000000"/>
                <w:sz w:val="22"/>
              </w:rPr>
            </w:pPr>
            <w:r>
              <w:rPr>
                <w:rFonts w:hint="eastAsia" w:ascii="宋体" w:hAnsi="宋体" w:eastAsia="宋体"/>
                <w:color w:val="000000"/>
                <w:kern w:val="0"/>
                <w:sz w:val="22"/>
              </w:rPr>
              <w:t>到控制室确认打料罐编号，按安排罐号打料，</w:t>
            </w:r>
            <w:r>
              <w:rPr>
                <w:rFonts w:hint="eastAsia" w:ascii="宋体" w:hAnsi="宋体" w:eastAsia="宋体"/>
                <w:color w:val="000000"/>
                <w:kern w:val="0"/>
                <w:sz w:val="22"/>
              </w:rPr>
              <w:br w:type="textWrapping"/>
            </w:r>
            <w:r>
              <w:rPr>
                <w:rFonts w:hint="eastAsia" w:ascii="宋体" w:hAnsi="宋体" w:eastAsia="宋体"/>
                <w:color w:val="000000"/>
                <w:kern w:val="0"/>
                <w:sz w:val="22"/>
              </w:rPr>
              <w:t>严禁私自上料。</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ABE8">
            <w:pPr>
              <w:widowControl/>
              <w:jc w:val="center"/>
              <w:textAlignment w:val="center"/>
              <w:rPr>
                <w:rFonts w:ascii="宋体" w:hAnsi="宋体" w:eastAsia="宋体"/>
                <w:color w:val="000000"/>
                <w:sz w:val="22"/>
              </w:rPr>
            </w:pPr>
            <w:r>
              <w:rPr>
                <w:rFonts w:hint="eastAsia" w:ascii="宋体" w:hAnsi="宋体" w:eastAsia="宋体"/>
                <w:color w:val="000000"/>
                <w:kern w:val="0"/>
                <w:sz w:val="22"/>
              </w:rPr>
              <w:t>出现以上情形者,将视造成后果进行处</w:t>
            </w:r>
            <w:r>
              <w:rPr>
                <w:rFonts w:hint="eastAsia" w:ascii="宋体" w:hAnsi="宋体" w:eastAsia="宋体"/>
                <w:color w:val="000000"/>
                <w:kern w:val="0"/>
                <w:sz w:val="22"/>
              </w:rPr>
              <w:br w:type="textWrapping"/>
            </w:r>
            <w:r>
              <w:rPr>
                <w:rFonts w:hint="eastAsia" w:ascii="宋体" w:hAnsi="宋体" w:eastAsia="宋体"/>
                <w:color w:val="000000"/>
                <w:kern w:val="0"/>
                <w:sz w:val="22"/>
              </w:rPr>
              <w:t>罚。</w:t>
            </w:r>
          </w:p>
        </w:tc>
      </w:tr>
      <w:tr w14:paraId="42316A16">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7D08">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1BB1">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4AB">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管路连接密封良好，不得出现跑漏灰的情况。</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A772">
            <w:pPr>
              <w:jc w:val="center"/>
              <w:rPr>
                <w:rFonts w:ascii="宋体" w:hAnsi="宋体" w:eastAsia="宋体"/>
                <w:color w:val="000000"/>
                <w:sz w:val="22"/>
              </w:rPr>
            </w:pPr>
          </w:p>
        </w:tc>
      </w:tr>
      <w:tr w14:paraId="57508CB6">
        <w:tblPrEx>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3E6">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5BA">
            <w:pPr>
              <w:widowControl/>
              <w:jc w:val="center"/>
              <w:textAlignment w:val="center"/>
              <w:rPr>
                <w:rFonts w:ascii="宋体" w:hAnsi="宋体" w:eastAsia="宋体"/>
                <w:color w:val="000000"/>
                <w:sz w:val="22"/>
              </w:rPr>
            </w:pPr>
            <w:r>
              <w:rPr>
                <w:rFonts w:hint="eastAsia" w:ascii="宋体" w:hAnsi="宋体" w:eastAsia="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88F">
            <w:pPr>
              <w:widowControl/>
              <w:jc w:val="center"/>
              <w:textAlignment w:val="center"/>
              <w:rPr>
                <w:rFonts w:ascii="宋体" w:hAnsi="宋体" w:eastAsia="宋体"/>
                <w:color w:val="000000"/>
                <w:sz w:val="22"/>
              </w:rPr>
            </w:pPr>
            <w:r>
              <w:rPr>
                <w:rFonts w:hint="eastAsia" w:ascii="宋体" w:hAnsi="宋体" w:eastAsia="宋体"/>
                <w:color w:val="000000"/>
                <w:kern w:val="0"/>
                <w:sz w:val="22"/>
              </w:rPr>
              <w:t>管路连接完毕,需打开除尘开关后,方可打料。</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1CF9">
            <w:pPr>
              <w:jc w:val="center"/>
              <w:rPr>
                <w:rFonts w:ascii="宋体" w:hAnsi="宋体" w:eastAsia="宋体"/>
                <w:color w:val="000000"/>
                <w:sz w:val="22"/>
              </w:rPr>
            </w:pPr>
          </w:p>
        </w:tc>
      </w:tr>
      <w:tr w14:paraId="50C3C412">
        <w:tblPrEx>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9F21">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0EAF">
            <w:pPr>
              <w:widowControl/>
              <w:jc w:val="center"/>
              <w:textAlignment w:val="center"/>
              <w:rPr>
                <w:rFonts w:ascii="宋体" w:hAnsi="宋体" w:eastAsia="宋体"/>
                <w:color w:val="000000"/>
                <w:sz w:val="22"/>
              </w:rPr>
            </w:pPr>
            <w:r>
              <w:rPr>
                <w:rFonts w:hint="eastAsia" w:ascii="宋体" w:hAnsi="宋体" w:eastAsia="宋体"/>
                <w:color w:val="000000"/>
                <w:kern w:val="0"/>
                <w:sz w:val="22"/>
              </w:rPr>
              <w:t>3</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DC0">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打料压力控制在 0.12以内,并观察罐顶冒灰情况，及时调整压力或停止打灰。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2A6A">
            <w:pPr>
              <w:jc w:val="center"/>
              <w:rPr>
                <w:rFonts w:ascii="宋体" w:hAnsi="宋体" w:eastAsia="宋体"/>
                <w:color w:val="000000"/>
                <w:sz w:val="22"/>
              </w:rPr>
            </w:pPr>
          </w:p>
        </w:tc>
      </w:tr>
      <w:tr w14:paraId="50A945C4">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234">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43E0">
            <w:pPr>
              <w:widowControl/>
              <w:jc w:val="center"/>
              <w:textAlignment w:val="center"/>
              <w:rPr>
                <w:rFonts w:ascii="宋体" w:hAnsi="宋体" w:eastAsia="宋体"/>
                <w:color w:val="000000"/>
                <w:sz w:val="22"/>
              </w:rPr>
            </w:pPr>
            <w:r>
              <w:rPr>
                <w:rFonts w:hint="eastAsia" w:ascii="宋体" w:hAnsi="宋体" w:eastAsia="宋体"/>
                <w:color w:val="000000"/>
                <w:kern w:val="0"/>
                <w:sz w:val="22"/>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BBFF">
            <w:pPr>
              <w:widowControl/>
              <w:jc w:val="left"/>
              <w:textAlignment w:val="center"/>
              <w:rPr>
                <w:rFonts w:ascii="宋体" w:hAnsi="宋体" w:eastAsia="宋体"/>
                <w:color w:val="000000"/>
                <w:sz w:val="22"/>
              </w:rPr>
            </w:pPr>
            <w:r>
              <w:rPr>
                <w:rFonts w:hint="eastAsia" w:ascii="宋体" w:hAnsi="宋体" w:eastAsia="宋体"/>
                <w:color w:val="000000"/>
                <w:kern w:val="0"/>
                <w:sz w:val="22"/>
              </w:rPr>
              <w:t>打灰结束前，提前降低压力，避免排气时，出现灌顶冒灰。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F4DF">
            <w:pPr>
              <w:jc w:val="center"/>
              <w:rPr>
                <w:rFonts w:ascii="宋体" w:hAnsi="宋体" w:eastAsia="宋体"/>
                <w:color w:val="000000"/>
                <w:sz w:val="22"/>
              </w:rPr>
            </w:pPr>
          </w:p>
        </w:tc>
      </w:tr>
      <w:tr w14:paraId="1AE06207">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22BF">
            <w:pPr>
              <w:jc w:val="center"/>
              <w:rPr>
                <w:rFonts w:ascii="宋体" w:hAnsi="宋体" w:eastAsia="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F59">
            <w:pPr>
              <w:widowControl/>
              <w:jc w:val="center"/>
              <w:textAlignment w:val="center"/>
              <w:rPr>
                <w:rFonts w:ascii="宋体" w:hAnsi="宋体" w:eastAsia="宋体"/>
                <w:color w:val="000000"/>
                <w:sz w:val="22"/>
              </w:rPr>
            </w:pPr>
            <w:r>
              <w:rPr>
                <w:rFonts w:hint="eastAsia" w:ascii="宋体" w:hAnsi="宋体" w:eastAsia="宋体"/>
                <w:color w:val="000000"/>
                <w:kern w:val="0"/>
                <w:sz w:val="22"/>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3099">
            <w:pPr>
              <w:widowControl/>
              <w:jc w:val="left"/>
              <w:textAlignment w:val="center"/>
              <w:rPr>
                <w:rFonts w:ascii="宋体" w:hAnsi="宋体" w:eastAsia="宋体"/>
                <w:color w:val="000000"/>
                <w:sz w:val="22"/>
              </w:rPr>
            </w:pPr>
            <w:r>
              <w:rPr>
                <w:rFonts w:hint="eastAsia" w:ascii="宋体" w:hAnsi="宋体" w:eastAsia="宋体"/>
                <w:color w:val="000000"/>
                <w:kern w:val="0"/>
                <w:sz w:val="22"/>
              </w:rPr>
              <w:t>需换罐时，应到控制室确认换罐编号，得到明确指令后方可换罐。</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FE1D">
            <w:pPr>
              <w:jc w:val="center"/>
              <w:rPr>
                <w:rFonts w:ascii="宋体" w:hAnsi="宋体" w:eastAsia="宋体"/>
                <w:color w:val="000000"/>
                <w:sz w:val="22"/>
              </w:rPr>
            </w:pPr>
          </w:p>
        </w:tc>
      </w:tr>
      <w:tr w14:paraId="44AFB3EA">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16E">
            <w:pPr>
              <w:widowControl/>
              <w:jc w:val="center"/>
              <w:textAlignment w:val="center"/>
              <w:rPr>
                <w:rFonts w:ascii="宋体" w:hAnsi="宋体" w:eastAsia="宋体"/>
                <w:color w:val="000000"/>
                <w:sz w:val="22"/>
              </w:rPr>
            </w:pPr>
            <w:r>
              <w:rPr>
                <w:rFonts w:hint="eastAsia" w:ascii="宋体" w:hAnsi="宋体" w:eastAsia="宋体"/>
                <w:color w:val="000000"/>
                <w:kern w:val="0"/>
                <w:sz w:val="22"/>
              </w:rPr>
              <w:t>打料后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8154">
            <w:pPr>
              <w:widowControl/>
              <w:jc w:val="center"/>
              <w:textAlignment w:val="center"/>
              <w:rPr>
                <w:rFonts w:ascii="宋体" w:hAnsi="宋体" w:eastAsia="宋体"/>
                <w:color w:val="000000"/>
                <w:sz w:val="22"/>
              </w:rPr>
            </w:pPr>
            <w:r>
              <w:rPr>
                <w:rFonts w:hint="eastAsia" w:ascii="宋体" w:hAnsi="宋体" w:eastAsia="宋体"/>
                <w:color w:val="000000"/>
                <w:kern w:val="0"/>
                <w:sz w:val="22"/>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9BB">
            <w:pPr>
              <w:widowControl/>
              <w:jc w:val="left"/>
              <w:textAlignment w:val="center"/>
              <w:rPr>
                <w:rFonts w:ascii="宋体" w:hAnsi="宋体" w:eastAsia="宋体"/>
                <w:color w:val="000000"/>
                <w:sz w:val="22"/>
              </w:rPr>
            </w:pPr>
            <w:r>
              <w:rPr>
                <w:rFonts w:hint="eastAsia" w:ascii="宋体" w:hAnsi="宋体" w:eastAsia="宋体"/>
                <w:color w:val="000000"/>
                <w:kern w:val="0"/>
                <w:sz w:val="22"/>
              </w:rPr>
              <w:t>打料后过磅去皮，下磅通过洗车台时应减慢车速，确认车辆清洗干净后，方可驶离。</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E68">
            <w:pPr>
              <w:jc w:val="center"/>
              <w:rPr>
                <w:rFonts w:ascii="宋体" w:hAnsi="宋体" w:eastAsia="宋体"/>
                <w:color w:val="000000"/>
                <w:sz w:val="22"/>
              </w:rPr>
            </w:pPr>
          </w:p>
        </w:tc>
      </w:tr>
      <w:tr w14:paraId="0EE03371">
        <w:tblPrEx>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58B0">
            <w:pPr>
              <w:widowControl/>
              <w:jc w:val="center"/>
              <w:textAlignment w:val="center"/>
              <w:rPr>
                <w:rFonts w:ascii="宋体" w:hAnsi="宋体" w:eastAsia="宋体"/>
                <w:color w:val="000000"/>
                <w:sz w:val="22"/>
              </w:rPr>
            </w:pPr>
            <w:r>
              <w:rPr>
                <w:rFonts w:hint="eastAsia" w:ascii="宋体" w:hAnsi="宋体" w:eastAsia="宋体"/>
                <w:color w:val="000000"/>
                <w:kern w:val="0"/>
                <w:sz w:val="22"/>
              </w:rPr>
              <w:t>安全提示</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2D4D">
            <w:pPr>
              <w:widowControl/>
              <w:jc w:val="left"/>
              <w:textAlignment w:val="center"/>
              <w:rPr>
                <w:rFonts w:ascii="宋体" w:hAnsi="宋体" w:eastAsia="宋体"/>
                <w:color w:val="000000"/>
                <w:sz w:val="22"/>
              </w:rPr>
            </w:pPr>
            <w:r>
              <w:rPr>
                <w:rFonts w:hint="eastAsia" w:ascii="宋体" w:hAnsi="宋体" w:eastAsia="宋体"/>
                <w:color w:val="000000"/>
                <w:kern w:val="0"/>
                <w:sz w:val="22"/>
              </w:rPr>
              <w:t>出入场及场内行车应左右观察、放慢车速，确保行车安全。</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2AAE">
            <w:pPr>
              <w:jc w:val="center"/>
              <w:rPr>
                <w:rFonts w:ascii="宋体" w:hAnsi="宋体" w:eastAsia="宋体"/>
                <w:color w:val="000000"/>
                <w:sz w:val="22"/>
              </w:rPr>
            </w:pPr>
          </w:p>
        </w:tc>
      </w:tr>
    </w:tbl>
    <w:p w14:paraId="03635180">
      <w:pPr>
        <w:tabs>
          <w:tab w:val="left" w:pos="306"/>
        </w:tabs>
        <w:rPr>
          <w:rFonts w:ascii="宋体" w:hAnsi="宋体" w:eastAsia="宋体"/>
          <w:sz w:val="30"/>
          <w:szCs w:val="30"/>
        </w:rPr>
      </w:pPr>
      <w:r>
        <w:rPr>
          <w:rFonts w:hint="eastAsia" w:ascii="宋体" w:hAnsi="宋体" w:eastAsia="宋体"/>
          <w:sz w:val="30"/>
          <w:szCs w:val="30"/>
        </w:rPr>
        <w:t>三、供应商须提供粉煤灰直供货源单位，并提供发票税率为13%。</w:t>
      </w:r>
    </w:p>
    <w:p w14:paraId="122B30A3">
      <w:pPr>
        <w:tabs>
          <w:tab w:val="left" w:pos="306"/>
        </w:tabs>
        <w:rPr>
          <w:rFonts w:hint="default" w:ascii="宋体" w:hAnsi="宋体" w:eastAsia="宋体"/>
          <w:sz w:val="30"/>
          <w:szCs w:val="30"/>
          <w:lang w:val="en-US" w:eastAsia="zh-CN"/>
        </w:rPr>
      </w:pPr>
      <w:r>
        <w:rPr>
          <w:rFonts w:hint="eastAsia" w:ascii="宋体" w:hAnsi="宋体" w:eastAsia="宋体"/>
          <w:sz w:val="30"/>
          <w:szCs w:val="30"/>
        </w:rPr>
        <w:t>四、本次采购量仅为预估量，具体用量根据现场实际注浆需求确定，如实际用灰量低于招标数量，甲方不再接收超出实际需求量的粉煤灰，并且甲方按实际用量依照合同约定价格支付货款。</w:t>
      </w:r>
      <w:r>
        <w:rPr>
          <w:rFonts w:hint="eastAsia" w:ascii="宋体" w:hAnsi="宋体" w:eastAsia="宋体"/>
          <w:sz w:val="30"/>
          <w:szCs w:val="30"/>
          <w:lang w:val="en-US" w:eastAsia="zh-CN"/>
        </w:rPr>
        <w:t>因环保、异常恶劣天气、注浆工艺调整、地质条件等引起的阶段性停工，自甲方通知停止供应起，供应方车辆滞留引起的误工费、及其它安全事宜，供应方自行承担。</w:t>
      </w:r>
    </w:p>
    <w:p w14:paraId="5B73D697">
      <w:pPr>
        <w:tabs>
          <w:tab w:val="left" w:pos="306"/>
        </w:tabs>
        <w:rPr>
          <w:rFonts w:ascii="宋体" w:hAnsi="宋体" w:eastAsia="宋体"/>
          <w:sz w:val="30"/>
          <w:szCs w:val="30"/>
        </w:rPr>
      </w:pPr>
      <w:bookmarkStart w:id="3" w:name="_GoBack"/>
      <w:bookmarkEnd w:id="3"/>
      <w:r>
        <w:rPr>
          <w:rFonts w:hint="eastAsia" w:ascii="宋体" w:hAnsi="宋体" w:eastAsia="宋体"/>
          <w:sz w:val="30"/>
          <w:szCs w:val="30"/>
        </w:rPr>
        <w:t>五、其他说明</w:t>
      </w:r>
    </w:p>
    <w:p w14:paraId="522AB176">
      <w:pPr>
        <w:tabs>
          <w:tab w:val="left" w:pos="306"/>
        </w:tabs>
        <w:rPr>
          <w:rFonts w:ascii="宋体" w:hAnsi="宋体" w:eastAsia="宋体"/>
          <w:sz w:val="30"/>
          <w:szCs w:val="30"/>
        </w:rPr>
      </w:pPr>
      <w:r>
        <w:rPr>
          <w:rFonts w:hint="eastAsia" w:ascii="宋体" w:hAnsi="宋体" w:eastAsia="宋体"/>
          <w:sz w:val="30"/>
          <w:szCs w:val="30"/>
        </w:rPr>
        <w:t>1.</w:t>
      </w:r>
      <w:r>
        <w:rPr>
          <w:rFonts w:hint="eastAsia" w:ascii="宋体" w:hAnsi="宋体" w:eastAsia="宋体"/>
          <w:sz w:val="30"/>
          <w:szCs w:val="30"/>
          <w:u w:val="single"/>
        </w:rPr>
        <w:t>为保证供应粉煤灰的质量与数量，供应商可</w:t>
      </w:r>
      <w:r>
        <w:rPr>
          <w:rFonts w:ascii="宋体" w:hAnsi="宋体" w:eastAsia="宋体"/>
          <w:sz w:val="30"/>
          <w:szCs w:val="30"/>
          <w:u w:val="single"/>
        </w:rPr>
        <w:t>分别</w:t>
      </w:r>
      <w:r>
        <w:rPr>
          <w:rFonts w:hint="eastAsia" w:ascii="宋体" w:hAnsi="宋体" w:eastAsia="宋体"/>
          <w:sz w:val="30"/>
          <w:szCs w:val="30"/>
          <w:u w:val="single"/>
        </w:rPr>
        <w:t>提供多个电厂的</w:t>
      </w:r>
      <w:r>
        <w:rPr>
          <w:rFonts w:ascii="宋体" w:hAnsi="宋体" w:eastAsia="宋体"/>
          <w:sz w:val="30"/>
          <w:szCs w:val="30"/>
          <w:u w:val="single"/>
        </w:rPr>
        <w:t>原灰、细灰、二级灰的</w:t>
      </w:r>
      <w:r>
        <w:rPr>
          <w:rFonts w:hint="eastAsia" w:ascii="宋体" w:hAnsi="宋体" w:eastAsia="宋体"/>
          <w:sz w:val="30"/>
          <w:szCs w:val="30"/>
          <w:u w:val="single"/>
        </w:rPr>
        <w:t>灰样，但每个送到浆站检测的灰样均需进行国检，</w:t>
      </w:r>
      <w:r>
        <w:rPr>
          <w:rFonts w:hint="eastAsia" w:ascii="宋体" w:hAnsi="宋体" w:eastAsia="宋体"/>
          <w:sz w:val="30"/>
          <w:szCs w:val="30"/>
        </w:rPr>
        <w:t>中标后进场时需向现场负责人提供送检灰样的国检合格报告。</w:t>
      </w:r>
    </w:p>
    <w:p w14:paraId="77BE26A0">
      <w:pPr>
        <w:tabs>
          <w:tab w:val="left" w:pos="306"/>
        </w:tabs>
        <w:rPr>
          <w:rFonts w:ascii="宋体" w:hAnsi="宋体" w:eastAsia="宋体"/>
          <w:sz w:val="30"/>
          <w:szCs w:val="30"/>
        </w:rPr>
      </w:pPr>
      <w:r>
        <w:rPr>
          <w:rFonts w:hint="eastAsia" w:ascii="宋体" w:hAnsi="宋体" w:eastAsia="宋体"/>
          <w:sz w:val="30"/>
          <w:szCs w:val="30"/>
        </w:rPr>
        <w:t>2.供应商须与崔庄煤矿现场负责人员做好对接，保证供应的稳定性与连续性，并由供应商负责协调地方关系等一切事宜。</w:t>
      </w:r>
    </w:p>
    <w:p w14:paraId="034021CE">
      <w:pPr>
        <w:tabs>
          <w:tab w:val="left" w:pos="306"/>
        </w:tabs>
        <w:rPr>
          <w:rFonts w:ascii="宋体" w:hAnsi="宋体" w:eastAsia="宋体"/>
          <w:sz w:val="30"/>
          <w:szCs w:val="30"/>
        </w:rPr>
      </w:pPr>
      <w:r>
        <w:rPr>
          <w:rFonts w:hint="eastAsia" w:ascii="宋体" w:hAnsi="宋体" w:eastAsia="宋体"/>
          <w:sz w:val="30"/>
          <w:szCs w:val="30"/>
        </w:rPr>
        <w:t>3.因现场粉煤灰用量较大，理化指标无法做到及时送检，将分批次集中委托具有相应资质的第三方检测机构进行检测，为保证所用粉煤灰质量，需进行现场取样检测，合格后方可进场打料。</w:t>
      </w:r>
    </w:p>
    <w:p w14:paraId="1FB7CC04">
      <w:pPr>
        <w:tabs>
          <w:tab w:val="left" w:pos="306"/>
        </w:tabs>
        <w:rPr>
          <w:rFonts w:ascii="宋体" w:hAnsi="宋体" w:eastAsia="宋体"/>
          <w:sz w:val="30"/>
          <w:szCs w:val="30"/>
        </w:rPr>
      </w:pPr>
      <w:bookmarkStart w:id="1" w:name="_Hlk141954182"/>
      <w:r>
        <w:rPr>
          <w:rFonts w:hint="eastAsia" w:ascii="宋体" w:hAnsi="宋体" w:eastAsia="宋体"/>
          <w:sz w:val="30"/>
          <w:szCs w:val="30"/>
        </w:rPr>
        <w:t>4.供货商必须保证所供应粉煤灰</w:t>
      </w:r>
      <w:bookmarkEnd w:id="1"/>
      <w:r>
        <w:rPr>
          <w:rFonts w:hint="eastAsia" w:ascii="宋体" w:hAnsi="宋体" w:eastAsia="宋体"/>
          <w:sz w:val="30"/>
          <w:szCs w:val="30"/>
        </w:rPr>
        <w:t>与</w:t>
      </w:r>
      <w:bookmarkStart w:id="2" w:name="_Hlk141953985"/>
      <w:r>
        <w:rPr>
          <w:rFonts w:hint="eastAsia" w:ascii="宋体" w:hAnsi="宋体" w:eastAsia="宋体"/>
          <w:sz w:val="30"/>
          <w:szCs w:val="30"/>
        </w:rPr>
        <w:t>送检粉煤灰样品质量一致</w:t>
      </w:r>
      <w:bookmarkEnd w:id="2"/>
      <w:r>
        <w:rPr>
          <w:rFonts w:hint="eastAsia" w:ascii="宋体" w:hAnsi="宋体" w:eastAsia="宋体"/>
          <w:sz w:val="30"/>
          <w:szCs w:val="30"/>
        </w:rPr>
        <w:t>，杜绝弄虚作假，凡发现实际到场粉煤灰与送检粉煤灰样品质量不一致、无法提供正式电厂出厂</w:t>
      </w:r>
      <w:r>
        <w:rPr>
          <w:rFonts w:hint="eastAsia" w:ascii="宋体" w:hAnsi="宋体" w:eastAsia="宋体"/>
          <w:sz w:val="30"/>
          <w:szCs w:val="30"/>
          <w:lang w:eastAsia="zh-CN"/>
        </w:rPr>
        <w:t>磅</w:t>
      </w:r>
      <w:r>
        <w:rPr>
          <w:rFonts w:hint="eastAsia" w:ascii="宋体" w:hAnsi="宋体" w:eastAsia="宋体"/>
          <w:sz w:val="30"/>
          <w:szCs w:val="30"/>
        </w:rPr>
        <w:t>单、以及夹心灰、提前备好灰样者，一律做退回处理，所产生费用自理，并进行一定数额的罚款。对现场取样检测有异议的，当场封存样品（3公斤以上）送第三方具有检测资质检测机构进行检测，检测费用由供应商负责，但具有检测资质第三方检测结果不作为判定该粉煤灰是否符合注浆使用的唯一标准，仅作为是否满足GB/T1596-2017中规定的C类Ⅱ级粉煤灰标准的依据。</w:t>
      </w:r>
    </w:p>
    <w:p w14:paraId="479B7C59">
      <w:pPr>
        <w:tabs>
          <w:tab w:val="left" w:pos="306"/>
        </w:tabs>
        <w:rPr>
          <w:rFonts w:ascii="宋体" w:hAnsi="宋体" w:eastAsia="宋体"/>
          <w:sz w:val="30"/>
          <w:szCs w:val="30"/>
        </w:rPr>
      </w:pPr>
      <w:r>
        <w:rPr>
          <w:rFonts w:hint="eastAsia" w:ascii="宋体" w:hAnsi="宋体" w:eastAsia="宋体"/>
          <w:sz w:val="30"/>
          <w:szCs w:val="30"/>
        </w:rPr>
        <w:t>5</w:t>
      </w:r>
      <w:r>
        <w:rPr>
          <w:rFonts w:ascii="宋体" w:hAnsi="宋体" w:eastAsia="宋体"/>
          <w:sz w:val="30"/>
          <w:szCs w:val="30"/>
        </w:rPr>
        <w:t>.</w:t>
      </w:r>
      <w:r>
        <w:rPr>
          <w:rFonts w:hint="eastAsia" w:ascii="宋体" w:hAnsi="宋体" w:eastAsia="宋体"/>
          <w:sz w:val="30"/>
          <w:szCs w:val="30"/>
        </w:rPr>
        <w:t>供货商应严格按照注浆站生产计划，足量供应满足注浆工作使用要求的粉煤灰，且有</w:t>
      </w:r>
      <w:r>
        <w:rPr>
          <w:rFonts w:ascii="宋体" w:hAnsi="宋体" w:eastAsia="宋体"/>
          <w:sz w:val="30"/>
          <w:szCs w:val="30"/>
        </w:rPr>
        <w:t>150</w:t>
      </w:r>
      <w:r>
        <w:rPr>
          <w:rFonts w:hint="eastAsia" w:ascii="宋体" w:hAnsi="宋体" w:eastAsia="宋体"/>
          <w:sz w:val="30"/>
          <w:szCs w:val="30"/>
          <w:lang w:val="en-US" w:eastAsia="zh-CN"/>
        </w:rPr>
        <w:t>-</w:t>
      </w:r>
      <w:r>
        <w:rPr>
          <w:rFonts w:ascii="宋体" w:hAnsi="宋体" w:eastAsia="宋体"/>
          <w:sz w:val="30"/>
          <w:szCs w:val="30"/>
        </w:rPr>
        <w:t>200</w:t>
      </w:r>
      <w:r>
        <w:rPr>
          <w:rFonts w:hint="eastAsia" w:ascii="宋体" w:hAnsi="宋体" w:eastAsia="宋体"/>
          <w:sz w:val="30"/>
          <w:szCs w:val="30"/>
        </w:rPr>
        <w:t>吨的余量，现场应安排联络人员调度车辆，以保证供应正常。</w:t>
      </w:r>
    </w:p>
    <w:p w14:paraId="573A8502">
      <w:pPr>
        <w:tabs>
          <w:tab w:val="left" w:pos="306"/>
        </w:tabs>
        <w:rPr>
          <w:rFonts w:ascii="宋体" w:hAnsi="宋体" w:eastAsia="宋体"/>
          <w:sz w:val="30"/>
          <w:szCs w:val="30"/>
        </w:rPr>
      </w:pPr>
      <w:r>
        <w:rPr>
          <w:rFonts w:hint="eastAsia" w:ascii="宋体" w:hAnsi="宋体" w:eastAsia="宋体"/>
          <w:sz w:val="30"/>
          <w:szCs w:val="30"/>
        </w:rPr>
        <w:t>6.发现提供假磅单3次以上或供应粉煤灰与进入招标提供厂家粉煤灰颜色、比重、结石率明显不符5次以上者，采购方可暂停该公司供应，进行协商，并由供应商提供相关佐证。暂停供应期间为保证注浆工作的连续性，采购方有权另行补充灰源，补充灰源优先进场，中标供应商不得阻挠，若出现阻挠现象，影响注浆工作，将终止中标供应商供应，并有权解除供货合同。</w:t>
      </w:r>
    </w:p>
    <w:p w14:paraId="3E071FA7">
      <w:pPr>
        <w:tabs>
          <w:tab w:val="left" w:pos="306"/>
        </w:tabs>
        <w:rPr>
          <w:rFonts w:ascii="宋体" w:hAnsi="宋体" w:eastAsia="宋体"/>
          <w:sz w:val="30"/>
          <w:szCs w:val="30"/>
        </w:rPr>
      </w:pPr>
      <w:r>
        <w:rPr>
          <w:rFonts w:hint="eastAsia" w:ascii="宋体" w:hAnsi="宋体" w:eastAsia="宋体"/>
          <w:sz w:val="30"/>
          <w:szCs w:val="30"/>
        </w:rPr>
        <w:t>7.供应商及司机要服从现场安全、环保等管理，配合浆站注浆工作，对不服从浆站管理的司机进行拉黑处理，拒绝再次进场。</w:t>
      </w:r>
    </w:p>
    <w:p w14:paraId="18E5E512">
      <w:pPr>
        <w:tabs>
          <w:tab w:val="left" w:pos="306"/>
        </w:tabs>
        <w:rPr>
          <w:rFonts w:ascii="宋体" w:hAnsi="宋体" w:eastAsia="宋体"/>
          <w:sz w:val="30"/>
          <w:szCs w:val="30"/>
        </w:rPr>
      </w:pPr>
      <w:r>
        <w:rPr>
          <w:rFonts w:hint="eastAsia" w:ascii="宋体" w:hAnsi="宋体" w:eastAsia="宋体"/>
          <w:sz w:val="30"/>
          <w:szCs w:val="30"/>
        </w:rPr>
        <w:t>8.二级灰可单独使用，但不得作为细灰与原灰进行配比。</w:t>
      </w:r>
    </w:p>
    <w:p w14:paraId="300E43A3">
      <w:pPr>
        <w:tabs>
          <w:tab w:val="left" w:pos="306"/>
        </w:tabs>
        <w:rPr>
          <w:rFonts w:ascii="宋体" w:hAnsi="宋体" w:eastAsia="宋体"/>
          <w:sz w:val="30"/>
          <w:szCs w:val="30"/>
        </w:rPr>
      </w:pPr>
      <w:r>
        <w:rPr>
          <w:rFonts w:hint="eastAsia" w:ascii="宋体" w:hAnsi="宋体" w:eastAsia="宋体"/>
          <w:sz w:val="30"/>
          <w:szCs w:val="30"/>
        </w:rPr>
        <w:t>9.供应商供应前须以纸质版材料说明货源地、厂家、粉煤灰的类别。若供应期间出现上述备案厂家粉煤灰的质量和数量无法满足注浆工作需求，供应商拟供应其他厂家的粉煤灰时，须提出书面申请及具有检测资质第三方检测合格报告，现场检测满足使用要求，并经同意后方可供应。</w:t>
      </w:r>
    </w:p>
    <w:p w14:paraId="29F1BB2E">
      <w:pPr>
        <w:tabs>
          <w:tab w:val="left" w:pos="306"/>
        </w:tabs>
        <w:rPr>
          <w:rFonts w:ascii="宋体" w:hAnsi="宋体" w:eastAsia="宋体"/>
          <w:sz w:val="30"/>
          <w:szCs w:val="30"/>
        </w:rPr>
      </w:pPr>
      <w:r>
        <w:rPr>
          <w:rFonts w:hint="eastAsia" w:ascii="宋体" w:hAnsi="宋体" w:eastAsia="宋体"/>
          <w:sz w:val="30"/>
          <w:szCs w:val="30"/>
        </w:rPr>
        <w:t>10.为保证注浆工艺的稳定性，供应商须保证供应原灰与细灰比例的动态平衡，若原灰超出细灰1000吨，</w:t>
      </w:r>
      <w:r>
        <w:rPr>
          <w:rFonts w:ascii="宋体" w:hAnsi="宋体" w:eastAsia="宋体"/>
          <w:sz w:val="30"/>
          <w:szCs w:val="30"/>
        </w:rPr>
        <w:t>采购方将</w:t>
      </w:r>
      <w:r>
        <w:rPr>
          <w:rFonts w:hint="eastAsia" w:ascii="宋体" w:hAnsi="宋体" w:eastAsia="宋体"/>
          <w:sz w:val="30"/>
          <w:szCs w:val="30"/>
        </w:rPr>
        <w:t>催告</w:t>
      </w:r>
      <w:r>
        <w:rPr>
          <w:rFonts w:ascii="宋体" w:hAnsi="宋体" w:eastAsia="宋体"/>
          <w:sz w:val="30"/>
          <w:szCs w:val="30"/>
        </w:rPr>
        <w:t>中标供应商</w:t>
      </w:r>
      <w:r>
        <w:rPr>
          <w:rFonts w:hint="eastAsia" w:ascii="宋体" w:hAnsi="宋体" w:eastAsia="宋体"/>
          <w:sz w:val="30"/>
          <w:szCs w:val="30"/>
        </w:rPr>
        <w:t>在规定期限</w:t>
      </w:r>
      <w:r>
        <w:rPr>
          <w:rFonts w:ascii="宋体" w:hAnsi="宋体" w:eastAsia="宋体"/>
          <w:sz w:val="30"/>
          <w:szCs w:val="30"/>
        </w:rPr>
        <w:t>内及时供应细灰，若采购供应商在规定时间内</w:t>
      </w:r>
      <w:r>
        <w:rPr>
          <w:rFonts w:hint="eastAsia" w:ascii="宋体" w:hAnsi="宋体" w:eastAsia="宋体"/>
          <w:sz w:val="30"/>
          <w:szCs w:val="30"/>
        </w:rPr>
        <w:t>仍无法达到比例平衡，采购方</w:t>
      </w:r>
      <w:r>
        <w:rPr>
          <w:rFonts w:ascii="宋体" w:hAnsi="宋体" w:eastAsia="宋体"/>
          <w:sz w:val="30"/>
          <w:szCs w:val="30"/>
        </w:rPr>
        <w:t>有权</w:t>
      </w:r>
      <w:r>
        <w:rPr>
          <w:rFonts w:hint="eastAsia" w:ascii="宋体" w:hAnsi="宋体" w:eastAsia="宋体"/>
          <w:sz w:val="30"/>
          <w:szCs w:val="30"/>
        </w:rPr>
        <w:t>暂停该公司供应。暂停供应期间采购方有权另行补充灰源，补充灰源优先进场，中标供应商不得阻挠，若出现阻挠现象，影响注浆工作，将终止中标供应商供应，并有权解除供货合同。</w:t>
      </w:r>
    </w:p>
    <w:p w14:paraId="48568AD9">
      <w:pPr>
        <w:tabs>
          <w:tab w:val="left" w:pos="306"/>
        </w:tabs>
        <w:rPr>
          <w:rFonts w:hint="eastAsia" w:ascii="宋体" w:hAnsi="宋体" w:eastAsia="宋体"/>
          <w:sz w:val="30"/>
          <w:szCs w:val="30"/>
        </w:rPr>
      </w:pPr>
      <w:r>
        <w:rPr>
          <w:rFonts w:hint="eastAsia" w:ascii="宋体" w:hAnsi="宋体" w:eastAsia="宋体"/>
          <w:sz w:val="30"/>
          <w:szCs w:val="30"/>
        </w:rPr>
        <w:t xml:space="preserve">  采购方综合价格、质量、货源厂家、供应保证量、服务等进行评选确定供应商。</w:t>
      </w:r>
    </w:p>
    <w:p w14:paraId="4C744498">
      <w:pPr>
        <w:tabs>
          <w:tab w:val="left" w:pos="306"/>
        </w:tabs>
        <w:rPr>
          <w:rFonts w:hint="eastAsia" w:ascii="宋体" w:hAnsi="宋体" w:eastAsia="宋体"/>
          <w:sz w:val="30"/>
          <w:szCs w:val="30"/>
        </w:rPr>
      </w:pPr>
    </w:p>
    <w:p w14:paraId="7A73F6D1">
      <w:pPr>
        <w:tabs>
          <w:tab w:val="left" w:pos="306"/>
        </w:tabs>
        <w:rPr>
          <w:rFonts w:hint="eastAsia" w:ascii="宋体" w:hAnsi="宋体" w:eastAsia="宋体"/>
          <w:sz w:val="30"/>
          <w:szCs w:val="30"/>
        </w:rPr>
      </w:pPr>
    </w:p>
    <w:p w14:paraId="5AC796D2">
      <w:pPr>
        <w:tabs>
          <w:tab w:val="left" w:pos="306"/>
        </w:tabs>
        <w:rPr>
          <w:rFonts w:hint="eastAsia" w:ascii="宋体" w:hAnsi="宋体" w:eastAsia="宋体"/>
          <w:sz w:val="30"/>
          <w:szCs w:val="30"/>
        </w:rPr>
      </w:pPr>
    </w:p>
    <w:p w14:paraId="18334BC7">
      <w:pPr>
        <w:tabs>
          <w:tab w:val="left" w:pos="306"/>
        </w:tabs>
        <w:rPr>
          <w:rFonts w:hint="eastAsia" w:ascii="宋体" w:hAnsi="宋体" w:eastAsia="宋体"/>
          <w:sz w:val="30"/>
          <w:szCs w:val="30"/>
        </w:rPr>
      </w:pPr>
    </w:p>
    <w:p w14:paraId="2B50601C">
      <w:pPr>
        <w:tabs>
          <w:tab w:val="left" w:pos="306"/>
        </w:tabs>
        <w:rPr>
          <w:rFonts w:hint="eastAsia" w:ascii="宋体" w:hAnsi="宋体" w:eastAsia="宋体"/>
          <w:sz w:val="30"/>
          <w:szCs w:val="30"/>
        </w:rPr>
      </w:pPr>
    </w:p>
    <w:p w14:paraId="2BEC9263">
      <w:pPr>
        <w:tabs>
          <w:tab w:val="left" w:pos="306"/>
        </w:tabs>
        <w:rPr>
          <w:rFonts w:hint="eastAsia" w:ascii="宋体" w:hAnsi="宋体" w:eastAsia="宋体"/>
          <w:sz w:val="30"/>
          <w:szCs w:val="30"/>
        </w:rPr>
      </w:pPr>
    </w:p>
    <w:p w14:paraId="7C25D8A6">
      <w:pPr>
        <w:tabs>
          <w:tab w:val="left" w:pos="306"/>
        </w:tabs>
        <w:rPr>
          <w:rFonts w:hint="eastAsia" w:ascii="宋体" w:hAnsi="宋体" w:eastAsia="宋体"/>
          <w:sz w:val="30"/>
          <w:szCs w:val="30"/>
        </w:rPr>
      </w:pPr>
    </w:p>
    <w:p w14:paraId="2D36E059">
      <w:pPr>
        <w:tabs>
          <w:tab w:val="left" w:pos="306"/>
        </w:tabs>
        <w:rPr>
          <w:rFonts w:hint="eastAsia" w:ascii="宋体" w:hAnsi="宋体" w:eastAsia="宋体"/>
          <w:sz w:val="30"/>
          <w:szCs w:val="30"/>
        </w:rPr>
      </w:pPr>
    </w:p>
    <w:p w14:paraId="12383327">
      <w:pPr>
        <w:tabs>
          <w:tab w:val="left" w:pos="306"/>
        </w:tabs>
        <w:rPr>
          <w:rFonts w:hint="eastAsia" w:ascii="宋体" w:hAnsi="宋体" w:eastAsia="宋体"/>
          <w:sz w:val="30"/>
          <w:szCs w:val="30"/>
        </w:rPr>
      </w:pPr>
    </w:p>
    <w:p w14:paraId="6D15B3E7">
      <w:pPr>
        <w:tabs>
          <w:tab w:val="left" w:pos="306"/>
        </w:tabs>
        <w:rPr>
          <w:rFonts w:hint="eastAsia" w:ascii="宋体" w:hAnsi="宋体" w:eastAsia="宋体"/>
          <w:sz w:val="30"/>
          <w:szCs w:val="30"/>
        </w:rPr>
      </w:pPr>
    </w:p>
    <w:p w14:paraId="090FBE43">
      <w:pPr>
        <w:tabs>
          <w:tab w:val="left" w:pos="306"/>
        </w:tabs>
        <w:rPr>
          <w:rFonts w:hint="eastAsia" w:ascii="宋体" w:hAnsi="宋体" w:eastAsia="宋体"/>
          <w:sz w:val="30"/>
          <w:szCs w:val="30"/>
        </w:rPr>
      </w:pPr>
    </w:p>
    <w:p w14:paraId="0DFCFFDB">
      <w:pPr>
        <w:tabs>
          <w:tab w:val="left" w:pos="306"/>
        </w:tabs>
        <w:rPr>
          <w:rFonts w:hint="eastAsia" w:ascii="宋体" w:hAnsi="宋体" w:eastAsia="宋体"/>
          <w:sz w:val="30"/>
          <w:szCs w:val="30"/>
        </w:rPr>
      </w:pPr>
    </w:p>
    <w:p w14:paraId="37F174BF">
      <w:pPr>
        <w:tabs>
          <w:tab w:val="left" w:pos="306"/>
        </w:tabs>
        <w:rPr>
          <w:rFonts w:hint="eastAsia" w:ascii="宋体" w:hAnsi="宋体" w:eastAsia="宋体"/>
          <w:sz w:val="30"/>
          <w:szCs w:val="30"/>
          <w:lang w:val="en-US" w:eastAsia="zh-CN"/>
        </w:rPr>
      </w:pPr>
      <w:r>
        <w:rPr>
          <w:rFonts w:hint="eastAsia" w:ascii="宋体" w:hAnsi="宋体" w:eastAsia="宋体"/>
          <w:sz w:val="30"/>
          <w:szCs w:val="30"/>
          <w:lang w:val="en-US" w:eastAsia="zh-CN"/>
        </w:rPr>
        <w:t xml:space="preserve">                              微山崔庄煤矿有限责任公司</w:t>
      </w:r>
    </w:p>
    <w:p w14:paraId="4E979C38">
      <w:pPr>
        <w:tabs>
          <w:tab w:val="left" w:pos="306"/>
        </w:tabs>
        <w:rPr>
          <w:rFonts w:hint="default" w:ascii="宋体" w:hAnsi="宋体" w:eastAsia="宋体"/>
          <w:sz w:val="30"/>
          <w:szCs w:val="30"/>
          <w:lang w:val="en-US" w:eastAsia="zh-CN"/>
        </w:rPr>
      </w:pPr>
      <w:r>
        <w:rPr>
          <w:rFonts w:hint="eastAsia" w:ascii="宋体" w:hAnsi="宋体" w:eastAsia="宋体"/>
          <w:sz w:val="30"/>
          <w:szCs w:val="30"/>
          <w:lang w:val="en-US" w:eastAsia="zh-CN"/>
        </w:rPr>
        <w:t xml:space="preserve">                                   2025年4月18日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70177A5F"/>
    <w:multiLevelType w:val="singleLevel"/>
    <w:tmpl w:val="70177A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3ZjY0N2E4M2Y2MmJlZjAwOWI4ZWM3YzA0ODliODIifQ=="/>
  </w:docVars>
  <w:rsids>
    <w:rsidRoot w:val="00C55A18"/>
    <w:rsid w:val="00450F77"/>
    <w:rsid w:val="0082172A"/>
    <w:rsid w:val="009E26BD"/>
    <w:rsid w:val="009F26B7"/>
    <w:rsid w:val="00C55A18"/>
    <w:rsid w:val="00D13D20"/>
    <w:rsid w:val="00E069E7"/>
    <w:rsid w:val="00E07FF6"/>
    <w:rsid w:val="00F738E7"/>
    <w:rsid w:val="00FE7FF7"/>
    <w:rsid w:val="061E469A"/>
    <w:rsid w:val="327C60DB"/>
    <w:rsid w:val="4FCF5375"/>
    <w:rsid w:val="5CE1167B"/>
    <w:rsid w:val="66F85AAA"/>
    <w:rsid w:val="69F525FF"/>
    <w:rsid w:val="6AE306AA"/>
    <w:rsid w:val="6CEB1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等线" w:hAnsi="等线" w:eastAsia="等线" w:cs="宋体"/>
      <w:kern w:val="2"/>
      <w:sz w:val="18"/>
      <w:szCs w:val="18"/>
    </w:rPr>
  </w:style>
  <w:style w:type="character" w:customStyle="1" w:styleId="9">
    <w:name w:val="页脚 Char"/>
    <w:basedOn w:val="6"/>
    <w:link w:val="2"/>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6</Pages>
  <Words>474</Words>
  <Characters>573</Characters>
  <Lines>19</Lines>
  <Paragraphs>5</Paragraphs>
  <TotalTime>95</TotalTime>
  <ScaleCrop>false</ScaleCrop>
  <LinksUpToDate>false</LinksUpToDate>
  <CharactersWithSpaces>577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归途</cp:lastModifiedBy>
  <cp:lastPrinted>2024-05-13T05:51:00Z</cp:lastPrinted>
  <dcterms:modified xsi:type="dcterms:W3CDTF">2025-04-15T01:19:59Z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62B31D80BB0F402FAE716E1CB1BC1DB9_13</vt:lpwstr>
  </property>
  <property fmtid="{D5CDD505-2E9C-101B-9397-08002B2CF9AE}" pid="4" name="KSOTemplateDocerSaveRecord">
    <vt:lpwstr>eyJoZGlkIjoiZDM3MTI0OTYwNDA4MmY4MzY3Y2Y4YzVhNzEyNThmZTIiLCJ1c2VySWQiOiIxNjY1MzAzNzgyIn0=</vt:lpwstr>
  </property>
</Properties>
</file>